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jc w:val="center"/>
      </w:pPr>
      <w:r>
        <w:rPr>
          <w:rFonts w:ascii="Arial" w:cs="Arial" w:eastAsia="Arial" w:hAnsi="Arial"/>
          <w:b/>
          <w:bCs/>
          <w:i w:val="false"/>
          <w:iCs w:val="false"/>
          <w:caps w:val="false"/>
          <w:color w:val="0F172A"/>
          <w:sz w:val="44"/>
          <w:szCs w:val="44"/>
        </w:rPr>
        <w:t xml:space="preserve">BudgetSmart</w:t>
      </w:r>
    </w:p>
    <w:p>
      <w:pPr>
        <w:spacing w:after="400" w:before="0" w:line="264"/>
        <w:jc w:val="center"/>
      </w:pPr>
      <w:r>
        <w:rPr>
          <w:rFonts w:ascii="Arial" w:cs="Arial" w:eastAsia="Arial" w:hAnsi="Arial"/>
          <w:b w:val="false"/>
          <w:bCs w:val="false"/>
          <w:i w:val="false"/>
          <w:iCs w:val="false"/>
          <w:caps w:val="false"/>
          <w:color w:val="475569"/>
          <w:sz w:val="18"/>
          <w:szCs w:val="18"/>
        </w:rPr>
        <w:t xml:space="preserve">Financial planning, budgeting and feasibility analysis system</w:t>
      </w:r>
    </w:p>
    <w:p>
      <w:pPr>
        <w:pBdr>
          <w:top w:val="single" w:color="1E3A8A" w:sz="8" w:space="10"/>
          <w:bottom w:val="single" w:color="1E3A8A" w:sz="8" w:space="10"/>
        </w:pBdr>
        <w:spacing w:after="360" w:before="0" w:line="264"/>
        <w:jc w:val="center"/>
      </w:pPr>
      <w:r>
        <w:rPr>
          <w:rFonts w:ascii="Arial" w:cs="Arial" w:eastAsia="Arial" w:hAnsi="Arial"/>
          <w:b/>
          <w:bCs/>
          <w:i w:val="false"/>
          <w:iCs w:val="false"/>
          <w:caps w:val="false"/>
          <w:color w:val="1E3A8A"/>
          <w:sz w:val="30"/>
          <w:szCs w:val="30"/>
        </w:rPr>
        <w:t xml:space="preserve">Budgeting &amp; Forecasting for an Existing Business</w:t>
      </w:r>
    </w:p>
    <w:p>
      <w:pPr>
        <w:spacing w:after="60" w:before="0" w:line="264"/>
        <w:jc w:val="center"/>
      </w:pPr>
      <w:r>
        <w:rPr>
          <w:rFonts w:ascii="Arial" w:cs="Arial" w:eastAsia="Arial" w:hAnsi="Arial"/>
          <w:b/>
          <w:bCs/>
          <w:i w:val="false"/>
          <w:iCs w:val="false"/>
          <w:caps w:val="false"/>
          <w:color w:val="334155"/>
          <w:sz w:val="19"/>
          <w:szCs w:val="19"/>
        </w:rPr>
        <w:t xml:space="preserve">Business name: </w:t>
      </w:r>
      <w:r>
        <w:rPr>
          <w:rFonts w:ascii="Arial" w:cs="Arial" w:eastAsia="Arial" w:hAnsi="Arial"/>
          <w:b w:val="false"/>
          <w:bCs w:val="false"/>
          <w:i w:val="false"/>
          <w:iCs w:val="false"/>
          <w:caps w:val="false"/>
          <w:color w:val="0F172A"/>
          <w:sz w:val="19"/>
          <w:szCs w:val="19"/>
        </w:rPr>
        <w:t xml:space="preserve">Verity Interiors Studio</w:t>
      </w:r>
    </w:p>
    <w:p>
      <w:pPr>
        <w:spacing w:after="60" w:before="0" w:line="264"/>
        <w:jc w:val="center"/>
      </w:pPr>
      <w:r>
        <w:rPr>
          <w:rFonts w:ascii="Arial" w:cs="Arial" w:eastAsia="Arial" w:hAnsi="Arial"/>
          <w:b/>
          <w:bCs/>
          <w:i w:val="false"/>
          <w:iCs w:val="false"/>
          <w:caps w:val="false"/>
          <w:color w:val="334155"/>
          <w:sz w:val="19"/>
          <w:szCs w:val="19"/>
        </w:rPr>
        <w:t xml:space="preserve">Project: </w:t>
      </w:r>
      <w:r>
        <w:rPr>
          <w:rFonts w:ascii="Arial" w:cs="Arial" w:eastAsia="Arial" w:hAnsi="Arial"/>
          <w:b w:val="false"/>
          <w:bCs w:val="false"/>
          <w:i w:val="false"/>
          <w:iCs w:val="false"/>
          <w:caps w:val="false"/>
          <w:color w:val="0F172A"/>
          <w:sz w:val="19"/>
          <w:szCs w:val="19"/>
        </w:rPr>
        <w:t xml:space="preserve">Annual budget and forecast</w:t>
      </w:r>
    </w:p>
    <w:p>
      <w:pPr>
        <w:spacing w:after="60" w:before="0" w:line="264"/>
        <w:jc w:val="center"/>
      </w:pPr>
      <w:r>
        <w:rPr>
          <w:rFonts w:ascii="Arial" w:cs="Arial" w:eastAsia="Arial" w:hAnsi="Arial"/>
          <w:b/>
          <w:bCs/>
          <w:i w:val="false"/>
          <w:iCs w:val="false"/>
          <w:caps w:val="false"/>
          <w:color w:val="334155"/>
          <w:sz w:val="19"/>
          <w:szCs w:val="19"/>
        </w:rPr>
        <w:t xml:space="preserve">Forecast year: </w:t>
      </w:r>
      <w:r>
        <w:rPr>
          <w:rFonts w:ascii="Arial" w:cs="Arial" w:eastAsia="Arial" w:hAnsi="Arial"/>
          <w:b w:val="false"/>
          <w:bCs w:val="false"/>
          <w:i w:val="false"/>
          <w:iCs w:val="false"/>
          <w:caps w:val="false"/>
          <w:color w:val="0F172A"/>
          <w:sz w:val="19"/>
          <w:szCs w:val="19"/>
        </w:rPr>
        <w:t xml:space="preserve">2027</w:t>
      </w:r>
    </w:p>
    <w:p>
      <w:pPr>
        <w:spacing w:after="60" w:before="0" w:line="264"/>
        <w:jc w:val="center"/>
      </w:pPr>
      <w:r>
        <w:rPr>
          <w:rFonts w:ascii="Arial" w:cs="Arial" w:eastAsia="Arial" w:hAnsi="Arial"/>
          <w:b/>
          <w:bCs/>
          <w:i w:val="false"/>
          <w:iCs w:val="false"/>
          <w:caps w:val="false"/>
          <w:color w:val="334155"/>
          <w:sz w:val="19"/>
          <w:szCs w:val="19"/>
        </w:rPr>
        <w:t xml:space="preserve">Generated on: </w:t>
      </w:r>
      <w:r>
        <w:rPr>
          <w:rFonts w:ascii="Arial" w:cs="Arial" w:eastAsia="Arial" w:hAnsi="Arial"/>
          <w:b w:val="false"/>
          <w:bCs w:val="false"/>
          <w:i w:val="false"/>
          <w:iCs w:val="false"/>
          <w:caps w:val="false"/>
          <w:color w:val="0F172A"/>
          <w:sz w:val="19"/>
          <w:szCs w:val="19"/>
        </w:rPr>
        <w:t xml:space="preserve">9/6/2026</w:t>
      </w:r>
    </w:p>
    <w:p>
      <w:pPr>
        <w:spacing w:after="280"/>
      </w:pPr>
      <w:r>
        <w:rPr>
          <w:rFonts w:ascii="Arial" w:cs="Arial" w:eastAsia="Arial" w:hAnsi="Arial"/>
          <w:b w:val="false"/>
          <w:bCs w:val="false"/>
          <w:i w:val="false"/>
          <w:iCs w:val="false"/>
          <w:caps w:val="false"/>
          <w:color w:val="0F172A"/>
          <w:sz w:val="12"/>
          <w:szCs w:val="12"/>
        </w:rPr>
        <w:t xml:space="preserve"/>
      </w:r>
    </w:p>
    <w:p>
      <w:pPr>
        <w:spacing w:after="60" w:before="0" w:line="264"/>
        <w:jc w:val="center"/>
      </w:pPr>
      <w:r>
        <w:rPr>
          <w:rFonts w:ascii="Arial" w:cs="Arial" w:eastAsia="Arial" w:hAnsi="Arial"/>
          <w:b w:val="false"/>
          <w:bCs w:val="false"/>
          <w:i w:val="false"/>
          <w:iCs w:val="false"/>
          <w:caps w:val="false"/>
          <w:color w:val="475569"/>
          <w:sz w:val="18"/>
          <w:szCs w:val="18"/>
        </w:rPr>
        <w:t xml:space="preserve">Prepared by</w:t>
      </w:r>
    </w:p>
    <w:p>
      <w:pPr>
        <w:spacing w:after="60" w:before="0" w:line="264"/>
        <w:jc w:val="center"/>
      </w:pPr>
      <w:r>
        <w:rPr>
          <w:rFonts w:ascii="Arial" w:cs="Arial" w:eastAsia="Arial" w:hAnsi="Arial"/>
          <w:b/>
          <w:bCs/>
          <w:i w:val="false"/>
          <w:iCs w:val="false"/>
          <w:caps w:val="false"/>
          <w:color w:val="0F172A"/>
          <w:sz w:val="24"/>
          <w:szCs w:val="24"/>
        </w:rPr>
        <w:t xml:space="preserve">Ezra Eliezer</w:t>
      </w:r>
    </w:p>
    <w:p>
      <w:pPr>
        <w:spacing w:after="60" w:before="0" w:line="264"/>
        <w:jc w:val="center"/>
      </w:pPr>
      <w:r>
        <w:rPr>
          <w:rFonts w:ascii="Arial" w:cs="Arial" w:eastAsia="Arial" w:hAnsi="Arial"/>
          <w:b w:val="false"/>
          <w:bCs w:val="false"/>
          <w:i w:val="false"/>
          <w:iCs w:val="false"/>
          <w:caps w:val="false"/>
          <w:color w:val="475569"/>
          <w:sz w:val="18"/>
          <w:szCs w:val="18"/>
        </w:rPr>
        <w:t xml:space="preserve">External CFO and Financial Consultant</w:t>
      </w:r>
    </w:p>
    <w:p>
      <w:pPr>
        <w:spacing w:after="60" w:before="0" w:line="264"/>
        <w:jc w:val="center"/>
      </w:pPr>
      <w:r>
        <w:rPr>
          <w:rFonts w:ascii="Arial" w:cs="Arial" w:eastAsia="Arial" w:hAnsi="Arial"/>
          <w:b w:val="false"/>
          <w:bCs w:val="false"/>
          <w:i w:val="false"/>
          <w:iCs w:val="false"/>
          <w:caps w:val="false"/>
          <w:color w:val="475569"/>
          <w:sz w:val="18"/>
          <w:szCs w:val="18"/>
        </w:rPr>
        <w:t xml:space="preserve">050-2900102 · ezra@ezraeliezer.com · ezraeliezer.com</w:t>
      </w:r>
    </w:p>
    <w:p>
      <w:pPr>
        <w:spacing w:after="3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7B4B4" w:sz="4"/>
              <w:left w:val="single" w:color="E7B4B4" w:sz="4"/>
              <w:bottom w:val="single" w:color="E7B4B4" w:sz="4"/>
              <w:right w:val="single" w:color="E7B4B4" w:sz="4"/>
            </w:tcBorders>
            <w:shd w:fill="FDF2F2" w:color="auto" w:val="clear"/>
            <w:tcMar>
              <w:top w:type="dxa" w:w="160"/>
              <w:left w:type="dxa" w:w="180"/>
              <w:bottom w:type="dxa" w:w="160"/>
              <w:right w:type="dxa" w:w="180"/>
            </w:tcMar>
          </w:tcPr>
          <w:p>
            <w:pPr>
              <w:spacing w:after="120" w:before="0" w:line="264"/>
              <w:jc w:val="left"/>
            </w:pPr>
            <w:r>
              <w:rPr>
                <w:rFonts w:ascii="Arial" w:cs="Arial" w:eastAsia="Arial" w:hAnsi="Arial"/>
                <w:b/>
                <w:bCs/>
                <w:i w:val="false"/>
                <w:iCs w:val="false"/>
                <w:caps w:val="false"/>
                <w:color w:val="B91C1C"/>
                <w:sz w:val="17"/>
                <w:szCs w:val="17"/>
              </w:rPr>
              <w:t xml:space="preserve">EDITOR'S NOTE — DELETE THIS BOX BEFORE PUBLISHING</w:t>
            </w:r>
          </w:p>
          <w:p>
            <w:pPr>
              <w:spacing w:after="80" w:before="0" w:line="264"/>
              <w:jc w:val="left"/>
            </w:pPr>
            <w:r>
              <w:rPr>
                <w:rFonts w:ascii="Arial" w:cs="Arial" w:eastAsia="Arial" w:hAnsi="Arial"/>
                <w:b w:val="false"/>
                <w:bCs w:val="false"/>
                <w:i w:val="false"/>
                <w:iCs w:val="false"/>
                <w:caps w:val="false"/>
                <w:color w:val="374151"/>
                <w:sz w:val="16"/>
                <w:szCs w:val="16"/>
              </w:rPr>
              <w:t xml:space="preserve">•  Every figure, label and sentence in this document was produced by BudgetSmart Pro EN V-35 from the inputs for this fictional business. Nothing was rewritten by hand.</w:t>
            </w:r>
          </w:p>
          <w:p>
            <w:pPr>
              <w:spacing w:after="80" w:before="0" w:line="264"/>
              <w:jc w:val="left"/>
            </w:pPr>
            <w:r>
              <w:rPr>
                <w:rFonts w:ascii="Arial" w:cs="Arial" w:eastAsia="Arial" w:hAnsi="Arial"/>
                <w:b w:val="false"/>
                <w:bCs w:val="false"/>
                <w:i w:val="false"/>
                <w:iCs w:val="false"/>
                <w:caps w:val="false"/>
                <w:color w:val="374151"/>
                <w:sz w:val="16"/>
                <w:szCs w:val="16"/>
              </w:rPr>
              <w:t xml:space="preserve">•  The company is invented. Replace the name, project and figures if you want a different demo case.</w:t>
            </w:r>
          </w:p>
          <w:p>
            <w:pPr>
              <w:spacing w:after="80" w:before="0" w:line="264"/>
              <w:jc w:val="left"/>
            </w:pPr>
            <w:r>
              <w:rPr>
                <w:rFonts w:ascii="Arial" w:cs="Arial" w:eastAsia="Arial" w:hAnsi="Arial"/>
                <w:b w:val="false"/>
                <w:bCs w:val="false"/>
                <w:i w:val="false"/>
                <w:iCs w:val="false"/>
                <w:caps w:val="false"/>
                <w:color w:val="374151"/>
                <w:sz w:val="16"/>
                <w:szCs w:val="16"/>
              </w:rPr>
              <w:t xml:space="preserve">•  Delete this box before publishing.</w:t>
            </w:r>
          </w:p>
        </w:tc>
      </w:tr>
    </w:tbl>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Executive Summary</w:t>
      </w:r>
    </w:p>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E3A8A" w:sz="4"/>
              <w:left w:val="single" w:color="1E3A8A" w:sz="18"/>
              <w:bottom w:val="single" w:color="1E3A8A" w:sz="4"/>
              <w:right w:val="single" w:color="1E3A8A" w:sz="4"/>
            </w:tcBorders>
            <w:shd w:fill="EFF6FF" w:color="auto" w:val="clear"/>
            <w:tcMar>
              <w:top w:type="dxa" w:w="170"/>
              <w:left w:type="dxa" w:w="190"/>
              <w:bottom w:type="dxa" w:w="170"/>
              <w:right w:type="dxa" w:w="190"/>
            </w:tcMar>
          </w:tcPr>
          <w:p>
            <w:pPr>
              <w:spacing w:after="120" w:before="0" w:line="264"/>
              <w:jc w:val="left"/>
            </w:pPr>
            <w:r>
              <w:rPr>
                <w:rFonts w:ascii="Arial" w:cs="Arial" w:eastAsia="Arial" w:hAnsi="Arial"/>
                <w:b/>
                <w:bCs/>
                <w:i w:val="false"/>
                <w:iCs w:val="false"/>
                <w:caps w:val="false"/>
                <w:color w:val="1E3A8A"/>
                <w:sz w:val="24"/>
                <w:szCs w:val="24"/>
              </w:rPr>
              <w:t xml:space="preserve">Positive business forecast</w:t>
            </w:r>
          </w:p>
          <w:p>
            <w:pPr>
              <w:spacing w:after="0" w:before="0" w:line="264"/>
              <w:jc w:val="left"/>
            </w:pPr>
            <w:r>
              <w:rPr>
                <w:rFonts w:ascii="Arial" w:cs="Arial" w:eastAsia="Arial" w:hAnsi="Arial"/>
                <w:b w:val="false"/>
                <w:bCs w:val="false"/>
                <w:i w:val="false"/>
                <w:iCs w:val="false"/>
                <w:caps w:val="false"/>
                <w:color w:val="1E3A8A"/>
                <w:sz w:val="19"/>
                <w:szCs w:val="19"/>
              </w:rPr>
              <w:t xml:space="preserve">The forecast shows positive profitability and cash flow. Based on the entered data, the business is expected to operate above break-even at a stable level.</w:t>
            </w:r>
          </w:p>
        </w:tc>
      </w:tr>
    </w:tbl>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Annual revenue</w:t>
            </w:r>
          </w:p>
          <w:p>
            <w:pPr>
              <w:spacing w:after="0" w:before="0" w:line="264"/>
              <w:jc w:val="left"/>
            </w:pPr>
            <w:r>
              <w:rPr>
                <w:rFonts w:ascii="Arial" w:cs="Arial" w:eastAsia="Arial" w:hAnsi="Arial"/>
                <w:b/>
                <w:bCs/>
                <w:i w:val="false"/>
                <w:iCs w:val="false"/>
                <w:caps w:val="false"/>
                <w:color w:val="0F172A"/>
                <w:sz w:val="22"/>
                <w:szCs w:val="22"/>
              </w:rPr>
              <w:t xml:space="preserve">$1,210,000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EBITDA</w:t>
            </w:r>
          </w:p>
          <w:p>
            <w:pPr>
              <w:spacing w:after="0" w:before="0" w:line="264"/>
              <w:jc w:val="left"/>
            </w:pPr>
            <w:r>
              <w:rPr>
                <w:rFonts w:ascii="Arial" w:cs="Arial" w:eastAsia="Arial" w:hAnsi="Arial"/>
                <w:b/>
                <w:bCs/>
                <w:i w:val="false"/>
                <w:iCs w:val="false"/>
                <w:caps w:val="false"/>
                <w:color w:val="0F172A"/>
                <w:sz w:val="22"/>
                <w:szCs w:val="22"/>
              </w:rPr>
              <w:t xml:space="preserve">$162,200</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Net Profit</w:t>
            </w:r>
          </w:p>
          <w:p>
            <w:pPr>
              <w:spacing w:after="0" w:before="0" w:line="264"/>
              <w:jc w:val="left"/>
            </w:pPr>
            <w:r>
              <w:rPr>
                <w:rFonts w:ascii="Arial" w:cs="Arial" w:eastAsia="Arial" w:hAnsi="Arial"/>
                <w:b/>
                <w:bCs/>
                <w:i w:val="false"/>
                <w:iCs w:val="false"/>
                <w:caps w:val="false"/>
                <w:color w:val="0F172A"/>
                <w:sz w:val="22"/>
                <w:szCs w:val="22"/>
              </w:rPr>
              <w:t xml:space="preserve">$106,414</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Cash Flow</w:t>
            </w:r>
          </w:p>
          <w:p>
            <w:pPr>
              <w:spacing w:after="0" w:before="0" w:line="264"/>
              <w:jc w:val="left"/>
            </w:pPr>
            <w:r>
              <w:rPr>
                <w:rFonts w:ascii="Arial" w:cs="Arial" w:eastAsia="Arial" w:hAnsi="Arial"/>
                <w:b/>
                <w:bCs/>
                <w:i w:val="false"/>
                <w:iCs w:val="false"/>
                <w:caps w:val="false"/>
                <w:color w:val="0F172A"/>
                <w:sz w:val="22"/>
                <w:szCs w:val="22"/>
              </w:rPr>
              <w:t xml:space="preserve">$120,147</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Monthly break-even revenue</w:t>
            </w:r>
          </w:p>
          <w:p>
            <w:pPr>
              <w:spacing w:after="0" w:before="0" w:line="264"/>
              <w:jc w:val="left"/>
            </w:pPr>
            <w:r>
              <w:rPr>
                <w:rFonts w:ascii="Arial" w:cs="Arial" w:eastAsia="Arial" w:hAnsi="Arial"/>
                <w:b/>
                <w:bCs/>
                <w:i w:val="false"/>
                <w:iCs w:val="false"/>
                <w:caps w:val="false"/>
                <w:color w:val="0F172A"/>
                <w:sz w:val="22"/>
                <w:szCs w:val="22"/>
              </w:rPr>
              <w:t xml:space="preserve">$79,032</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Status</w:t>
            </w:r>
          </w:p>
          <w:p>
            <w:pPr>
              <w:spacing w:after="0" w:before="0" w:line="264"/>
              <w:jc w:val="left"/>
            </w:pPr>
            <w:r>
              <w:rPr>
                <w:rFonts w:ascii="Arial" w:cs="Arial" w:eastAsia="Arial" w:hAnsi="Arial"/>
                <w:b/>
                <w:bCs/>
                <w:i w:val="false"/>
                <w:iCs w:val="false"/>
                <w:caps w:val="false"/>
                <w:color w:val="0F172A"/>
                <w:sz w:val="22"/>
                <w:szCs w:val="22"/>
              </w:rPr>
              <w:t xml:space="preserve">Positive business forecast</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00" w:before="0" w:line="264"/>
        <w:jc w:val="left"/>
      </w:pPr>
      <w:r>
        <w:rPr>
          <w:rFonts w:ascii="Arial" w:cs="Arial" w:eastAsia="Arial" w:hAnsi="Arial"/>
          <w:b w:val="false"/>
          <w:bCs w:val="false"/>
          <w:i w:val="false"/>
          <w:iCs w:val="false"/>
          <w:caps w:val="false"/>
          <w:color w:val="475569"/>
          <w:sz w:val="17"/>
          <w:szCs w:val="17"/>
        </w:rPr>
        <w:t xml:space="preserve">This summary presents the key results only and is based on the data and assumptions entered.</w:t>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Key KPIs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Revenue</w:t>
            </w:r>
          </w:p>
          <w:p>
            <w:pPr>
              <w:spacing w:after="0" w:before="0" w:line="264"/>
              <w:jc w:val="left"/>
            </w:pPr>
            <w:r>
              <w:rPr>
                <w:rFonts w:ascii="Arial" w:cs="Arial" w:eastAsia="Arial" w:hAnsi="Arial"/>
                <w:b/>
                <w:bCs/>
                <w:i w:val="false"/>
                <w:iCs w:val="false"/>
                <w:caps w:val="false"/>
                <w:color w:val="0F172A"/>
                <w:sz w:val="22"/>
                <w:szCs w:val="22"/>
              </w:rPr>
              <w:t xml:space="preserve">$1,210,000</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Gross Profit</w:t>
            </w:r>
          </w:p>
          <w:p>
            <w:pPr>
              <w:spacing w:after="0" w:before="0" w:line="264"/>
              <w:jc w:val="left"/>
            </w:pPr>
            <w:r>
              <w:rPr>
                <w:rFonts w:ascii="Arial" w:cs="Arial" w:eastAsia="Arial" w:hAnsi="Arial"/>
                <w:b/>
                <w:bCs/>
                <w:i w:val="false"/>
                <w:iCs w:val="false"/>
                <w:caps w:val="false"/>
                <w:color w:val="0F172A"/>
                <w:sz w:val="22"/>
                <w:szCs w:val="22"/>
              </w:rPr>
              <w:t xml:space="preserve">$750,200</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EBITDA</w:t>
            </w:r>
          </w:p>
          <w:p>
            <w:pPr>
              <w:spacing w:after="0" w:before="0" w:line="264"/>
              <w:jc w:val="left"/>
            </w:pPr>
            <w:r>
              <w:rPr>
                <w:rFonts w:ascii="Arial" w:cs="Arial" w:eastAsia="Arial" w:hAnsi="Arial"/>
                <w:b/>
                <w:bCs/>
                <w:i w:val="false"/>
                <w:iCs w:val="false"/>
                <w:caps w:val="false"/>
                <w:color w:val="0F172A"/>
                <w:sz w:val="22"/>
                <w:szCs w:val="22"/>
              </w:rPr>
              <w:t xml:space="preserve">$162,200</w:t>
            </w:r>
          </w:p>
        </w:tc>
      </w:tr>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Net Profit</w:t>
            </w:r>
          </w:p>
          <w:p>
            <w:pPr>
              <w:spacing w:after="0" w:before="0" w:line="264"/>
              <w:jc w:val="left"/>
            </w:pPr>
            <w:r>
              <w:rPr>
                <w:rFonts w:ascii="Arial" w:cs="Arial" w:eastAsia="Arial" w:hAnsi="Arial"/>
                <w:b/>
                <w:bCs/>
                <w:i w:val="false"/>
                <w:iCs w:val="false"/>
                <w:caps w:val="false"/>
                <w:color w:val="0F172A"/>
                <w:sz w:val="22"/>
                <w:szCs w:val="22"/>
              </w:rPr>
              <w:t xml:space="preserve">$106,414</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Cash flow</w:t>
            </w:r>
          </w:p>
          <w:p>
            <w:pPr>
              <w:spacing w:after="0" w:before="0" w:line="264"/>
              <w:jc w:val="left"/>
            </w:pPr>
            <w:r>
              <w:rPr>
                <w:rFonts w:ascii="Arial" w:cs="Arial" w:eastAsia="Arial" w:hAnsi="Arial"/>
                <w:b/>
                <w:bCs/>
                <w:i w:val="false"/>
                <w:iCs w:val="false"/>
                <w:caps w:val="false"/>
                <w:color w:val="0F172A"/>
                <w:sz w:val="22"/>
                <w:szCs w:val="22"/>
              </w:rPr>
              <w:t xml:space="preserve">$120,147</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Break Even</w:t>
            </w:r>
          </w:p>
          <w:p>
            <w:pPr>
              <w:spacing w:after="0" w:before="0" w:line="264"/>
              <w:jc w:val="left"/>
            </w:pPr>
            <w:r>
              <w:rPr>
                <w:rFonts w:ascii="Arial" w:cs="Arial" w:eastAsia="Arial" w:hAnsi="Arial"/>
                <w:b/>
                <w:bCs/>
                <w:i w:val="false"/>
                <w:iCs w:val="false"/>
                <w:caps w:val="false"/>
                <w:color w:val="0F172A"/>
                <w:sz w:val="22"/>
                <w:szCs w:val="22"/>
              </w:rPr>
              <w:t xml:space="preserve">$79,032</w:t>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Risk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400"/>
        <w:gridCol w:w="4126"/>
      </w:tblGrid>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Test</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Status</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Value</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Meaning</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Net Profit annual</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$106,414</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Annual net profit is positive.</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EBITDA</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$162,200</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Ability to generate operating profit before depreciation, financing and tax.</w:t>
            </w:r>
          </w:p>
        </w:tc>
      </w:tr>
      <w:tr>
        <w:tc>
          <w:tcPr>
            <w:tcW w:type="dxa" w:w="25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Annual cash flow</w:t>
            </w:r>
          </w:p>
        </w:tc>
        <w:tc>
          <w:tcPr>
            <w:tcW w:type="dxa" w:w="10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OK</w:t>
            </w:r>
          </w:p>
        </w:tc>
        <w:tc>
          <w:tcPr>
            <w:tcW w:type="dxa" w:w="14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$120,147</w:t>
            </w:r>
          </w:p>
        </w:tc>
        <w:tc>
          <w:tcPr>
            <w:tcW w:type="dxa" w:w="41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Forecast annual cash flow after expenses and financing.</w:t>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Annual Forecast Table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38"/>
        <w:gridCol w:w="586"/>
        <w:gridCol w:w="586"/>
        <w:gridCol w:w="586"/>
        <w:gridCol w:w="586"/>
        <w:gridCol w:w="586"/>
        <w:gridCol w:w="586"/>
        <w:gridCol w:w="586"/>
        <w:gridCol w:w="586"/>
        <w:gridCol w:w="586"/>
        <w:gridCol w:w="586"/>
        <w:gridCol w:w="586"/>
        <w:gridCol w:w="586"/>
        <w:gridCol w:w="956"/>
      </w:tblGrid>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Line Item</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2</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4</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5</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6</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9</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11</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Month 12</w:t>
            </w:r>
          </w:p>
        </w:tc>
        <w:tc>
          <w:tcPr>
            <w:tcW w:type="dxa" w:w="95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Total</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Revenue</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100,833</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1,210,000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COGS</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38,317</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459,800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Gross Profit</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62,517</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750,200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Expenses</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49,000</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588,000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EBITDA</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13,517</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162,200</w:t>
            </w:r>
          </w:p>
        </w:tc>
      </w:tr>
      <w:tr>
        <w:tc>
          <w:tcPr>
            <w:tcW w:type="dxa" w:w="1038"/>
            <w:tcBorders>
              <w:top w:val="single" w:color="CBD5E1" w:sz="2"/>
              <w:left w:val="single" w:color="CBD5E1" w:sz="2"/>
              <w:bottom w:val="single" w:color="CBD5E1" w:sz="2"/>
              <w:right w:val="single" w:color="CBD5E1" w:sz="2"/>
            </w:tcBorders>
            <w:shd w:fill="F8FAFC" w:color="auto" w:val="clear"/>
            <w:tcMar>
              <w:top w:type="dxa" w:w="50"/>
              <w:left w:type="dxa" w:w="60"/>
              <w:bottom w:type="dxa" w:w="50"/>
              <w:right w:type="dxa" w:w="60"/>
            </w:tcMar>
            <w:vAlign w:val="center"/>
          </w:tcPr>
          <w:p>
            <w:pPr>
              <w:spacing w:after="0" w:before="0" w:line="264"/>
              <w:jc w:val="left"/>
            </w:pPr>
            <w:r>
              <w:rPr>
                <w:rFonts w:ascii="Arial" w:cs="Arial" w:eastAsia="Arial" w:hAnsi="Arial"/>
                <w:b/>
                <w:bCs/>
                <w:i w:val="false"/>
                <w:iCs w:val="false"/>
                <w:caps w:val="false"/>
                <w:color w:val="0F172A"/>
                <w:sz w:val="11"/>
                <w:szCs w:val="11"/>
              </w:rPr>
              <w:t xml:space="preserve">Net Profit</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586"/>
            <w:tcBorders>
              <w:top w:val="single" w:color="CBD5E1" w:sz="2"/>
              <w:left w:val="single" w:color="CBD5E1" w:sz="2"/>
              <w:bottom w:val="single" w:color="CBD5E1" w:sz="2"/>
              <w:right w:val="single" w:color="CBD5E1" w:sz="2"/>
            </w:tcBorders>
            <w:tcMar>
              <w:top w:type="dxa" w:w="50"/>
              <w:left w:type="dxa" w:w="60"/>
              <w:bottom w:type="dxa" w:w="50"/>
              <w:right w:type="dxa" w:w="60"/>
            </w:tcMar>
            <w:vAlign w:val="center"/>
          </w:tcPr>
          <w:p>
            <w:pPr>
              <w:spacing w:after="0" w:before="0" w:line="264"/>
              <w:jc w:val="center"/>
            </w:pPr>
            <w:r>
              <w:rPr>
                <w:rFonts w:ascii="Arial" w:cs="Arial" w:eastAsia="Arial" w:hAnsi="Arial"/>
                <w:b w:val="false"/>
                <w:bCs w:val="false"/>
                <w:i w:val="false"/>
                <w:iCs w:val="false"/>
                <w:caps w:val="false"/>
                <w:color w:val="0F172A"/>
                <w:sz w:val="11"/>
                <w:szCs w:val="11"/>
              </w:rPr>
              <w:t xml:space="preserve">8,868</w:t>
            </w:r>
          </w:p>
        </w:tc>
        <w:tc>
          <w:tcPr>
            <w:tcW w:type="dxa" w:w="956"/>
            <w:tcBorders>
              <w:top w:val="single" w:color="CBD5E1" w:sz="2"/>
              <w:left w:val="single" w:color="CBD5E1" w:sz="2"/>
              <w:bottom w:val="single" w:color="CBD5E1" w:sz="2"/>
              <w:right w:val="single" w:color="CBD5E1" w:sz="2"/>
            </w:tcBorders>
            <w:shd w:fill="E2E8F0" w:color="auto" w:val="clear"/>
            <w:tcMar>
              <w:top w:type="dxa" w:w="50"/>
              <w:left w:type="dxa" w:w="60"/>
              <w:bottom w:type="dxa" w:w="50"/>
              <w:right w:type="dxa" w:w="60"/>
            </w:tcMar>
            <w:vAlign w:val="center"/>
          </w:tcPr>
          <w:p>
            <w:pPr>
              <w:spacing w:after="0" w:before="0" w:line="264"/>
              <w:jc w:val="center"/>
            </w:pPr>
            <w:r>
              <w:rPr>
                <w:rFonts w:ascii="Arial" w:cs="Arial" w:eastAsia="Arial" w:hAnsi="Arial"/>
                <w:b/>
                <w:bCs/>
                <w:i w:val="false"/>
                <w:iCs w:val="false"/>
                <w:caps w:val="false"/>
                <w:color w:val="0F172A"/>
                <w:sz w:val="11"/>
                <w:szCs w:val="11"/>
              </w:rPr>
              <w:t xml:space="preserve">106,414</w:t>
            </w:r>
          </w:p>
        </w:tc>
      </w:tr>
    </w:tbl>
    <w:p>
      <w:pPr>
        <w:spacing w:after="12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Cash Flow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2900"/>
        <w:gridCol w:w="2926"/>
      </w:tblGrid>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Monthly cash flow</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Cash balance at month end</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Opening balance</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45,000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5,184</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50,185</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2</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6,285</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56,469</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3</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67,337</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4</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78,205</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5</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89,072</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6</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99,940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7</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110,808</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8</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121,676</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9</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132,544</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10</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143,412</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11</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154,280</w:t>
            </w:r>
          </w:p>
        </w:tc>
      </w:tr>
      <w:tr>
        <w:tc>
          <w:tcPr>
            <w:tcW w:type="dxa" w:w="320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 12</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10,868</w:t>
            </w:r>
          </w:p>
        </w:tc>
        <w:tc>
          <w:tcPr>
            <w:tcW w:type="dxa" w:w="2926"/>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165,147</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00" w:before="0" w:line="264"/>
        <w:jc w:val="left"/>
      </w:pPr>
      <w:r>
        <w:rPr>
          <w:rFonts w:ascii="Arial" w:cs="Arial" w:eastAsia="Arial" w:hAnsi="Arial"/>
          <w:b w:val="false"/>
          <w:bCs w:val="false"/>
          <w:i w:val="false"/>
          <w:iCs w:val="false"/>
          <w:caps w:val="false"/>
          <w:color w:val="475569"/>
          <w:sz w:val="17"/>
          <w:szCs w:val="17"/>
        </w:rPr>
        <w:t xml:space="preserve">Negative months are highlighted in red for early detection of cash-flow pressure.</w:t>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Model Assumptions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Assumption</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Value</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Gross margin</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62%</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Growth rate / forecast source</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+10.0% historical growth</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Seasonality</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Based on history (average of monthly revenue patterns / manual edit)</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payroll</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$30,000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marketing</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$4,500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Monthly fixed expenses</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$14,500</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Tax rate (default)</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23%</w:t>
            </w:r>
          </w:p>
        </w:tc>
      </w:tr>
      <w:tr>
        <w:tc>
          <w:tcPr>
            <w:tcW w:type="dxa" w:w="4513"/>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0" w:before="0" w:line="264"/>
              <w:jc w:val="left"/>
            </w:pPr>
            <w:r>
              <w:rPr>
                <w:rFonts w:ascii="Arial" w:cs="Arial" w:eastAsia="Arial" w:hAnsi="Arial"/>
                <w:b/>
                <w:bCs/>
                <w:i w:val="false"/>
                <w:iCs w:val="false"/>
                <w:caps w:val="false"/>
                <w:color w:val="0F172A"/>
                <w:sz w:val="17"/>
                <w:szCs w:val="17"/>
              </w:rPr>
              <w:t xml:space="preserve">Credit days (cash timing only)</w:t>
            </w:r>
          </w:p>
        </w:tc>
        <w:tc>
          <w:tcPr>
            <w:tcW w:type="dxa" w:w="4513"/>
            <w:tcBorders>
              <w:top w:val="single" w:color="CBD5E1" w:sz="2"/>
              <w:left w:val="single" w:color="CBD5E1" w:sz="2"/>
              <w:bottom w:val="single" w:color="CBD5E1" w:sz="2"/>
              <w:right w:val="single" w:color="CBD5E1" w:sz="2"/>
            </w:tcBorders>
            <w:tcMar>
              <w:top w:type="dxa" w:w="90"/>
              <w:left w:type="dxa" w:w="110"/>
              <w:bottom w:type="dxa" w:w="90"/>
              <w:right w:type="dxa" w:w="110"/>
            </w:tcMar>
            <w:vAlign w:val="center"/>
          </w:tcPr>
          <w:p>
            <w:pPr>
              <w:spacing w:after="0" w:before="0" w:line="264"/>
              <w:jc w:val="center"/>
            </w:pPr>
            <w:r>
              <w:rPr>
                <w:rFonts w:ascii="Arial" w:cs="Arial" w:eastAsia="Arial" w:hAnsi="Arial"/>
                <w:b w:val="false"/>
                <w:bCs w:val="false"/>
                <w:i w:val="false"/>
                <w:iCs w:val="false"/>
                <w:caps w:val="false"/>
                <w:color w:val="0F172A"/>
                <w:sz w:val="17"/>
                <w:szCs w:val="17"/>
              </w:rPr>
              <w:t xml:space="preserve">Customers Net 45 · Suppliers Net 30</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80" w:before="120" w:line="264"/>
        <w:jc w:val="left"/>
      </w:pPr>
      <w:r>
        <w:rPr>
          <w:rFonts w:ascii="Arial" w:cs="Arial" w:eastAsia="Arial" w:hAnsi="Arial"/>
          <w:b/>
          <w:bCs/>
          <w:i w:val="false"/>
          <w:iCs w:val="false"/>
          <w:caps w:val="false"/>
          <w:color w:val="0F172A"/>
          <w:sz w:val="17"/>
          <w:szCs w:val="17"/>
        </w:rPr>
        <w:t xml:space="preserve">Not included in the model:</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Full bank obligo, short-term liabilities and balance-sheet capital structure - these require external verification before a decision</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The valuation assumes the business continues unchanged - growth the buyer still has to generate is not priced in</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All figures are exclusive of VAT or sales tax</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Owner drawings / dividends - not modeled</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One-time receipts or expenses that were not entered</w:t>
      </w:r>
    </w:p>
    <w:p>
      <w:pPr>
        <w:pStyle w:val="ListParagraph"/>
        <w:numPr>
          <w:ilvl w:val="0"/>
          <w:numId w:val="2"/>
        </w:numPr>
        <w:spacing w:after="60" w:line="250"/>
      </w:pPr>
      <w:r>
        <w:rPr>
          <w:rFonts w:ascii="Arial" w:cs="Arial" w:eastAsia="Arial" w:hAnsi="Arial"/>
          <w:b w:val="false"/>
          <w:bCs w:val="false"/>
          <w:i w:val="false"/>
          <w:iCs w:val="false"/>
          <w:caps w:val="false"/>
          <w:color w:val="475569"/>
          <w:sz w:val="16"/>
          <w:szCs w:val="16"/>
        </w:rPr>
        <w:t xml:space="preserve">Depreciation assumes a full year of use, spread evenly over 12 months - the purchase month is not considered</w:t>
      </w:r>
    </w:p>
    <w:p>
      <w:pPr>
        <w:spacing w:after="80"/>
      </w:pPr>
      <w:r>
        <w:rPr>
          <w:rFonts w:ascii="Arial" w:cs="Arial" w:eastAsia="Arial" w:hAnsi="Arial"/>
          <w:b w:val="false"/>
          <w:bCs w:val="false"/>
          <w:i w:val="false"/>
          <w:iCs w:val="false"/>
          <w:caps w:val="false"/>
          <w:color w:val="0F172A"/>
          <w:sz w:val="12"/>
          <w:szCs w:val="12"/>
        </w:rPr>
        <w:t xml:space="preserve"/>
      </w:r>
    </w:p>
    <w:p>
      <w:r>
        <w:br w:type="page"/>
      </w:r>
    </w:p>
    <w:p>
      <w:pPr>
        <w:pBdr>
          <w:bottom w:val="single" w:color="1E3A8A" w:sz="12" w:space="6"/>
        </w:pBdr>
        <w:spacing w:after="160" w:before="300"/>
      </w:pPr>
      <w:r>
        <w:rPr>
          <w:rFonts w:ascii="Arial" w:cs="Arial" w:eastAsia="Arial" w:hAnsi="Arial"/>
          <w:b/>
          <w:bCs/>
          <w:i w:val="false"/>
          <w:iCs w:val="false"/>
          <w:caps w:val="false"/>
          <w:color w:val="0F172A"/>
          <w:sz w:val="30"/>
          <w:szCs w:val="30"/>
        </w:rPr>
        <w:t xml:space="preserve">Conclusions and Next Steps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Strengths</w:t>
            </w:r>
          </w:p>
          <w:p>
            <w:pPr>
              <w:spacing w:after="0" w:before="0" w:line="264"/>
              <w:jc w:val="left"/>
            </w:pPr>
            <w:r>
              <w:rPr>
                <w:rFonts w:ascii="Arial" w:cs="Arial" w:eastAsia="Arial" w:hAnsi="Arial"/>
                <w:b/>
                <w:bCs/>
                <w:i w:val="false"/>
                <w:iCs w:val="false"/>
                <w:caps w:val="false"/>
                <w:color w:val="0F172A"/>
                <w:sz w:val="18"/>
                <w:szCs w:val="18"/>
              </w:rPr>
              <w:t xml:space="preserve">2 business strengths were identified based on the entered data.</w:t>
            </w:r>
          </w:p>
        </w:tc>
        <w:tc>
          <w:tcPr>
            <w:tcW w:type="dxa" w:w="3008"/>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Points for Attention</w:t>
            </w:r>
          </w:p>
          <w:p>
            <w:pPr>
              <w:spacing w:after="0" w:before="0" w:line="264"/>
              <w:jc w:val="left"/>
            </w:pPr>
            <w:r>
              <w:rPr>
                <w:rFonts w:ascii="Arial" w:cs="Arial" w:eastAsia="Arial" w:hAnsi="Arial"/>
                <w:b/>
                <w:bCs/>
                <w:i w:val="false"/>
                <w:iCs w:val="false"/>
                <w:caps w:val="false"/>
                <w:color w:val="0F172A"/>
                <w:sz w:val="18"/>
                <w:szCs w:val="18"/>
              </w:rPr>
              <w:t xml:space="preserve">1 points require deeper review.</w:t>
            </w:r>
          </w:p>
        </w:tc>
        <w:tc>
          <w:tcPr>
            <w:tcW w:type="dxa" w:w="3010"/>
            <w:tcBorders>
              <w:top w:val="single" w:color="CBD5E1" w:sz="2"/>
              <w:left w:val="single" w:color="CBD5E1" w:sz="2"/>
              <w:bottom w:val="single" w:color="CBD5E1" w:sz="2"/>
              <w:right w:val="single" w:color="CBD5E1" w:sz="2"/>
            </w:tcBorders>
            <w:shd w:fill="F8FAFC" w:color="auto" w:val="clear"/>
            <w:tcMar>
              <w:top w:type="dxa" w:w="90"/>
              <w:left w:type="dxa" w:w="110"/>
              <w:bottom w:type="dxa" w:w="90"/>
              <w:right w:type="dxa" w:w="110"/>
            </w:tcMar>
            <w:vAlign w:val="center"/>
          </w:tcPr>
          <w:p>
            <w:pPr>
              <w:spacing w:after="60" w:before="0" w:line="264"/>
              <w:jc w:val="left"/>
            </w:pPr>
            <w:r>
              <w:rPr>
                <w:rFonts w:ascii="Arial" w:cs="Arial" w:eastAsia="Arial" w:hAnsi="Arial"/>
                <w:b/>
                <w:bCs/>
                <w:i w:val="false"/>
                <w:iCs w:val="false"/>
                <w:caps/>
                <w:color w:val="64748B"/>
                <w:spacing w:val="6"/>
                <w:sz w:val="15"/>
                <w:szCs w:val="15"/>
              </w:rPr>
              <w:t xml:space="preserve">Action Recommendations</w:t>
            </w:r>
          </w:p>
          <w:p>
            <w:pPr>
              <w:spacing w:after="0" w:before="0" w:line="264"/>
              <w:jc w:val="left"/>
            </w:pPr>
            <w:r>
              <w:rPr>
                <w:rFonts w:ascii="Arial" w:cs="Arial" w:eastAsia="Arial" w:hAnsi="Arial"/>
                <w:b/>
                <w:bCs/>
                <w:i w:val="false"/>
                <w:iCs w:val="false"/>
                <w:caps w:val="false"/>
                <w:color w:val="0F172A"/>
                <w:sz w:val="18"/>
                <w:szCs w:val="18"/>
              </w:rPr>
              <w:t xml:space="preserve">3 implementation recommendations, to be reviewed in a personal consultation.</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120"/>
      </w:pPr>
      <w:r>
        <w:rPr>
          <w:rFonts w:ascii="Arial" w:cs="Arial" w:eastAsia="Arial" w:hAnsi="Arial"/>
          <w:b w:val="false"/>
          <w:bCs w:val="false"/>
          <w:i w:val="false"/>
          <w:iCs w:val="false"/>
          <w:caps w:val="false"/>
          <w:color w:val="0F172A"/>
          <w:sz w:val="12"/>
          <w:szCs w:val="1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E3A8A" w:sz="4"/>
              <w:left w:val="single" w:color="1E3A8A" w:sz="18"/>
              <w:bottom w:val="single" w:color="1E3A8A" w:sz="4"/>
              <w:right w:val="single" w:color="1E3A8A" w:sz="4"/>
            </w:tcBorders>
            <w:shd w:fill="EFF6FF" w:color="auto" w:val="clear"/>
            <w:tcMar>
              <w:top w:type="dxa" w:w="170"/>
              <w:left w:type="dxa" w:w="190"/>
              <w:bottom w:type="dxa" w:w="170"/>
              <w:right w:type="dxa" w:w="190"/>
            </w:tcMar>
          </w:tcPr>
          <w:p>
            <w:pPr>
              <w:spacing w:after="0" w:before="0" w:line="264"/>
              <w:jc w:val="left"/>
            </w:pPr>
            <w:r>
              <w:rPr>
                <w:rFonts w:ascii="Arial" w:cs="Arial" w:eastAsia="Arial" w:hAnsi="Arial"/>
                <w:b/>
                <w:bCs/>
                <w:i w:val="false"/>
                <w:iCs w:val="false"/>
                <w:caps w:val="false"/>
                <w:color w:val="1E3A8A"/>
                <w:sz w:val="24"/>
                <w:szCs w:val="24"/>
              </w:rPr>
              <w:t xml:space="preserve">Want to understand what the numbers say about your business?</w:t>
            </w:r>
          </w:p>
        </w:tc>
      </w:tr>
    </w:tbl>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9"/>
          <w:szCs w:val="19"/>
        </w:rPr>
        <w:t xml:space="preserve">A deeper interpretation — identifying risks, leveraging strengths and finding ways to improve — is reviewed together in an initial consultation at no cost.</w:t>
      </w:r>
    </w:p>
    <w:p>
      <w:pPr>
        <w:spacing w:after="80" w:before="0" w:line="264"/>
        <w:jc w:val="center"/>
      </w:pPr>
      <w:r>
        <w:rPr>
          <w:rFonts w:ascii="Arial" w:cs="Arial" w:eastAsia="Arial" w:hAnsi="Arial"/>
          <w:b/>
          <w:bCs/>
          <w:i w:val="false"/>
          <w:iCs w:val="false"/>
          <w:caps w:val="false"/>
          <w:color w:val="1E3A8A"/>
          <w:sz w:val="20"/>
          <w:szCs w:val="20"/>
        </w:rPr>
        <w:t xml:space="preserve">Ezra Eliezer — External CFO and Financial Consultant</w:t>
      </w:r>
    </w:p>
    <w:p>
      <w:pPr>
        <w:spacing w:after="80" w:before="0" w:line="264"/>
        <w:jc w:val="center"/>
      </w:pPr>
      <w:r>
        <w:rPr>
          <w:rFonts w:ascii="Arial" w:cs="Arial" w:eastAsia="Arial" w:hAnsi="Arial"/>
          <w:b/>
          <w:bCs/>
          <w:i w:val="false"/>
          <w:iCs w:val="false"/>
          <w:caps w:val="false"/>
          <w:color w:val="1E3A8A"/>
          <w:sz w:val="20"/>
          <w:szCs w:val="20"/>
        </w:rPr>
        <w:t xml:space="preserve">050-2900102 · ezra@ezraeliezer.com · ezraeliezer.com</w:t>
      </w:r>
    </w:p>
    <w:p>
      <w:pPr>
        <w:spacing w:after="120"/>
      </w:pPr>
      <w:r>
        <w:rPr>
          <w:rFonts w:ascii="Arial" w:cs="Arial" w:eastAsia="Arial" w:hAnsi="Arial"/>
          <w:b w:val="false"/>
          <w:bCs w:val="false"/>
          <w:i w:val="false"/>
          <w:iCs w:val="false"/>
          <w:caps w:val="false"/>
          <w:color w:val="0F172A"/>
          <w:sz w:val="12"/>
          <w:szCs w:val="12"/>
        </w:rPr>
        <w:t xml:space="preserve"/>
      </w:r>
    </w:p>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5"/>
          <w:szCs w:val="15"/>
        </w:rPr>
        <w:t xml:space="preserve">Professional disclaimer: This report is based on the data and assumptions entered into BudgetSmart and does not constitute financial, business, legal, or investment advice. Actual results may differ from the forecast shown. We recommend reviewing the data with a qualified professional before making business or financial decisions.</w:t>
      </w:r>
    </w:p>
    <w:p>
      <w:pPr>
        <w:spacing w:after="120"/>
      </w:pPr>
      <w:r>
        <w:rPr>
          <w:rFonts w:ascii="Arial" w:cs="Arial" w:eastAsia="Arial" w:hAnsi="Arial"/>
          <w:b w:val="false"/>
          <w:bCs w:val="false"/>
          <w:i w:val="false"/>
          <w:iCs w:val="false"/>
          <w:caps w:val="false"/>
          <w:color w:val="0F172A"/>
          <w:sz w:val="12"/>
          <w:szCs w:val="12"/>
        </w:rPr>
        <w:t xml:space="preserve"/>
      </w:r>
    </w:p>
    <w:p>
      <w:pPr>
        <w:spacing w:after="80" w:before="0" w:line="264"/>
        <w:jc w:val="left"/>
      </w:pPr>
      <w:r>
        <w:rPr>
          <w:rFonts w:ascii="Arial" w:cs="Arial" w:eastAsia="Arial" w:hAnsi="Arial"/>
          <w:b w:val="false"/>
          <w:bCs w:val="false"/>
          <w:i w:val="false"/>
          <w:iCs w:val="false"/>
          <w:caps w:val="false"/>
          <w:color w:val="475569"/>
          <w:sz w:val="15"/>
          <w:szCs w:val="15"/>
        </w:rPr>
        <w:t xml:space="preserve">Generated with BudgetSmart Pro · Licensed copy · License BSP-0000-000000 · © Ezra Eliezer</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6"/>
      </w:pBdr>
      <w:spacing w:before="60"/>
      <w:jc w:val="center"/>
    </w:pPr>
    <w:r>
      <w:rPr>
        <w:rFonts w:ascii="Arial" w:cs="Arial" w:eastAsia="Arial" w:hAnsi="Arial"/>
        <w:b w:val="false"/>
        <w:bCs w:val="false"/>
        <w:i w:val="false"/>
        <w:iCs w:val="false"/>
        <w:caps w:val="false"/>
        <w:color w:val="64748B"/>
        <w:sz w:val="13"/>
        <w:szCs w:val="13"/>
      </w:rPr>
      <w:t xml:space="preserve">BudgetSmart · Ezra Eliezer — External CFO and Financial Consultant · +972 50-290-0102 · ezra@ezraeliezer.com · ezraeliezer.com · License BSP-0000-000000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2026-09-06T15:22:23.168Z</dcterms:created>
  <dcterms:modified xsi:type="dcterms:W3CDTF">2026-09-06T15:22:23.168Z</dcterms:modified>
</cp:coreProperties>
</file>

<file path=docProps/custom.xml><?xml version="1.0" encoding="utf-8"?>
<Properties xmlns="http://schemas.openxmlformats.org/officeDocument/2006/custom-properties" xmlns:vt="http://schemas.openxmlformats.org/officeDocument/2006/docPropsVTypes"/>
</file>