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64"/>
        <w:jc w:val="center"/>
      </w:pPr>
      <w:r>
        <w:rPr>
          <w:rFonts w:ascii="Arial" w:cs="Arial" w:eastAsia="Arial" w:hAnsi="Arial"/>
          <w:b/>
          <w:bCs/>
          <w:i w:val="false"/>
          <w:iCs w:val="false"/>
          <w:caps w:val="false"/>
          <w:color w:val="0F172A"/>
          <w:sz w:val="44"/>
          <w:szCs w:val="44"/>
        </w:rPr>
        <w:t xml:space="preserve">BudgetSmart</w:t>
      </w:r>
    </w:p>
    <w:p>
      <w:pPr>
        <w:spacing w:after="400" w:before="0" w:line="264"/>
        <w:jc w:val="center"/>
      </w:pPr>
      <w:r>
        <w:rPr>
          <w:rFonts w:ascii="Arial" w:cs="Arial" w:eastAsia="Arial" w:hAnsi="Arial"/>
          <w:b w:val="false"/>
          <w:bCs w:val="false"/>
          <w:i w:val="false"/>
          <w:iCs w:val="false"/>
          <w:caps w:val="false"/>
          <w:color w:val="475569"/>
          <w:sz w:val="18"/>
          <w:szCs w:val="18"/>
        </w:rPr>
        <w:t xml:space="preserve">Financial planning, budgeting and feasibility analysis system</w:t>
      </w:r>
    </w:p>
    <w:p>
      <w:pPr>
        <w:pBdr>
          <w:top w:val="single" w:color="1E3A8A" w:sz="8" w:space="10"/>
          <w:bottom w:val="single" w:color="1E3A8A" w:sz="8" w:space="10"/>
        </w:pBdr>
        <w:spacing w:after="360" w:before="0" w:line="264"/>
        <w:jc w:val="center"/>
      </w:pPr>
      <w:r>
        <w:rPr>
          <w:rFonts w:ascii="Arial" w:cs="Arial" w:eastAsia="Arial" w:hAnsi="Arial"/>
          <w:b/>
          <w:bCs/>
          <w:i w:val="false"/>
          <w:iCs w:val="false"/>
          <w:caps w:val="false"/>
          <w:color w:val="1E3A8A"/>
          <w:sz w:val="30"/>
          <w:szCs w:val="30"/>
        </w:rPr>
        <w:t xml:space="preserve">Investment Feasibility Analysis</w:t>
      </w:r>
    </w:p>
    <w:p>
      <w:pPr>
        <w:spacing w:after="60" w:before="0" w:line="264"/>
        <w:jc w:val="center"/>
      </w:pPr>
      <w:r>
        <w:rPr>
          <w:rFonts w:ascii="Arial" w:cs="Arial" w:eastAsia="Arial" w:hAnsi="Arial"/>
          <w:b/>
          <w:bCs/>
          <w:i w:val="false"/>
          <w:iCs w:val="false"/>
          <w:caps w:val="false"/>
          <w:color w:val="334155"/>
          <w:sz w:val="19"/>
          <w:szCs w:val="19"/>
        </w:rPr>
        <w:t xml:space="preserve">Business name: </w:t>
      </w:r>
      <w:r>
        <w:rPr>
          <w:rFonts w:ascii="Arial" w:cs="Arial" w:eastAsia="Arial" w:hAnsi="Arial"/>
          <w:b w:val="false"/>
          <w:bCs w:val="false"/>
          <w:i w:val="false"/>
          <w:iCs w:val="false"/>
          <w:caps w:val="false"/>
          <w:color w:val="0F172A"/>
          <w:sz w:val="19"/>
          <w:szCs w:val="19"/>
        </w:rPr>
        <w:t xml:space="preserve">Northgate Bakery Ltd.</w:t>
      </w:r>
    </w:p>
    <w:p>
      <w:pPr>
        <w:spacing w:after="60" w:before="0" w:line="264"/>
        <w:jc w:val="center"/>
      </w:pPr>
      <w:r>
        <w:rPr>
          <w:rFonts w:ascii="Arial" w:cs="Arial" w:eastAsia="Arial" w:hAnsi="Arial"/>
          <w:b/>
          <w:bCs/>
          <w:i w:val="false"/>
          <w:iCs w:val="false"/>
          <w:caps w:val="false"/>
          <w:color w:val="334155"/>
          <w:sz w:val="19"/>
          <w:szCs w:val="19"/>
        </w:rPr>
        <w:t xml:space="preserve">Project: </w:t>
      </w:r>
      <w:r>
        <w:rPr>
          <w:rFonts w:ascii="Arial" w:cs="Arial" w:eastAsia="Arial" w:hAnsi="Arial"/>
          <w:b w:val="false"/>
          <w:bCs w:val="false"/>
          <w:i w:val="false"/>
          <w:iCs w:val="false"/>
          <w:caps w:val="false"/>
          <w:color w:val="0F172A"/>
          <w:sz w:val="19"/>
          <w:szCs w:val="19"/>
        </w:rPr>
        <w:t xml:space="preserve">Acquisition feasibility review</w:t>
      </w:r>
    </w:p>
    <w:p>
      <w:pPr>
        <w:spacing w:after="60" w:before="0" w:line="264"/>
        <w:jc w:val="center"/>
      </w:pPr>
      <w:r>
        <w:rPr>
          <w:rFonts w:ascii="Arial" w:cs="Arial" w:eastAsia="Arial" w:hAnsi="Arial"/>
          <w:b/>
          <w:bCs/>
          <w:i w:val="false"/>
          <w:iCs w:val="false"/>
          <w:caps w:val="false"/>
          <w:color w:val="334155"/>
          <w:sz w:val="19"/>
          <w:szCs w:val="19"/>
        </w:rPr>
        <w:t xml:space="preserve">Forecast year: </w:t>
      </w:r>
      <w:r>
        <w:rPr>
          <w:rFonts w:ascii="Arial" w:cs="Arial" w:eastAsia="Arial" w:hAnsi="Arial"/>
          <w:b w:val="false"/>
          <w:bCs w:val="false"/>
          <w:i w:val="false"/>
          <w:iCs w:val="false"/>
          <w:caps w:val="false"/>
          <w:color w:val="0F172A"/>
          <w:sz w:val="19"/>
          <w:szCs w:val="19"/>
        </w:rPr>
        <w:t xml:space="preserve">2027</w:t>
      </w:r>
    </w:p>
    <w:p>
      <w:pPr>
        <w:spacing w:after="60" w:before="0" w:line="264"/>
        <w:jc w:val="center"/>
      </w:pPr>
      <w:r>
        <w:rPr>
          <w:rFonts w:ascii="Arial" w:cs="Arial" w:eastAsia="Arial" w:hAnsi="Arial"/>
          <w:b/>
          <w:bCs/>
          <w:i w:val="false"/>
          <w:iCs w:val="false"/>
          <w:caps w:val="false"/>
          <w:color w:val="334155"/>
          <w:sz w:val="19"/>
          <w:szCs w:val="19"/>
        </w:rPr>
        <w:t xml:space="preserve">Generated on: </w:t>
      </w:r>
      <w:r>
        <w:rPr>
          <w:rFonts w:ascii="Arial" w:cs="Arial" w:eastAsia="Arial" w:hAnsi="Arial"/>
          <w:b w:val="false"/>
          <w:bCs w:val="false"/>
          <w:i w:val="false"/>
          <w:iCs w:val="false"/>
          <w:caps w:val="false"/>
          <w:color w:val="0F172A"/>
          <w:sz w:val="19"/>
          <w:szCs w:val="19"/>
        </w:rPr>
        <w:t xml:space="preserve">9/6/2026</w:t>
      </w:r>
    </w:p>
    <w:p>
      <w:pPr>
        <w:spacing w:after="280"/>
      </w:pPr>
      <w:r>
        <w:rPr>
          <w:rFonts w:ascii="Arial" w:cs="Arial" w:eastAsia="Arial" w:hAnsi="Arial"/>
          <w:b w:val="false"/>
          <w:bCs w:val="false"/>
          <w:i w:val="false"/>
          <w:iCs w:val="false"/>
          <w:caps w:val="false"/>
          <w:color w:val="0F172A"/>
          <w:sz w:val="12"/>
          <w:szCs w:val="12"/>
        </w:rPr>
        <w:t xml:space="preserve"/>
      </w:r>
    </w:p>
    <w:p>
      <w:pPr>
        <w:spacing w:after="60" w:before="0" w:line="264"/>
        <w:jc w:val="center"/>
      </w:pPr>
      <w:r>
        <w:rPr>
          <w:rFonts w:ascii="Arial" w:cs="Arial" w:eastAsia="Arial" w:hAnsi="Arial"/>
          <w:b w:val="false"/>
          <w:bCs w:val="false"/>
          <w:i w:val="false"/>
          <w:iCs w:val="false"/>
          <w:caps w:val="false"/>
          <w:color w:val="475569"/>
          <w:sz w:val="18"/>
          <w:szCs w:val="18"/>
        </w:rPr>
        <w:t xml:space="preserve">Prepared by</w:t>
      </w:r>
    </w:p>
    <w:p>
      <w:pPr>
        <w:spacing w:after="60" w:before="0" w:line="264"/>
        <w:jc w:val="center"/>
      </w:pPr>
      <w:r>
        <w:rPr>
          <w:rFonts w:ascii="Arial" w:cs="Arial" w:eastAsia="Arial" w:hAnsi="Arial"/>
          <w:b/>
          <w:bCs/>
          <w:i w:val="false"/>
          <w:iCs w:val="false"/>
          <w:caps w:val="false"/>
          <w:color w:val="0F172A"/>
          <w:sz w:val="24"/>
          <w:szCs w:val="24"/>
        </w:rPr>
        <w:t xml:space="preserve">Ezra Eliezer</w:t>
      </w:r>
    </w:p>
    <w:p>
      <w:pPr>
        <w:spacing w:after="60" w:before="0" w:line="264"/>
        <w:jc w:val="center"/>
      </w:pPr>
      <w:r>
        <w:rPr>
          <w:rFonts w:ascii="Arial" w:cs="Arial" w:eastAsia="Arial" w:hAnsi="Arial"/>
          <w:b w:val="false"/>
          <w:bCs w:val="false"/>
          <w:i w:val="false"/>
          <w:iCs w:val="false"/>
          <w:caps w:val="false"/>
          <w:color w:val="475569"/>
          <w:sz w:val="18"/>
          <w:szCs w:val="18"/>
        </w:rPr>
        <w:t xml:space="preserve">External CFO and Financial Consultant</w:t>
      </w:r>
    </w:p>
    <w:p>
      <w:pPr>
        <w:spacing w:after="60" w:before="0" w:line="264"/>
        <w:jc w:val="center"/>
      </w:pPr>
      <w:r>
        <w:rPr>
          <w:rFonts w:ascii="Arial" w:cs="Arial" w:eastAsia="Arial" w:hAnsi="Arial"/>
          <w:b w:val="false"/>
          <w:bCs w:val="false"/>
          <w:i w:val="false"/>
          <w:iCs w:val="false"/>
          <w:caps w:val="false"/>
          <w:color w:val="475569"/>
          <w:sz w:val="18"/>
          <w:szCs w:val="18"/>
        </w:rPr>
        <w:t xml:space="preserve">050-2900102 · ezra@ezraeliezer.com · ezraeliezer.com</w:t>
      </w:r>
    </w:p>
    <w:p>
      <w:pPr>
        <w:spacing w:after="3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7B4B4" w:sz="4"/>
              <w:left w:val="single" w:color="E7B4B4" w:sz="4"/>
              <w:bottom w:val="single" w:color="E7B4B4" w:sz="4"/>
              <w:right w:val="single" w:color="E7B4B4" w:sz="4"/>
            </w:tcBorders>
            <w:shd w:fill="FDF2F2" w:color="auto" w:val="clear"/>
            <w:tcMar>
              <w:top w:type="dxa" w:w="160"/>
              <w:left w:type="dxa" w:w="180"/>
              <w:bottom w:type="dxa" w:w="160"/>
              <w:right w:type="dxa" w:w="180"/>
            </w:tcMar>
          </w:tcPr>
          <w:p>
            <w:pPr>
              <w:spacing w:after="120" w:before="0" w:line="264"/>
              <w:jc w:val="left"/>
            </w:pPr>
            <w:r>
              <w:rPr>
                <w:rFonts w:ascii="Arial" w:cs="Arial" w:eastAsia="Arial" w:hAnsi="Arial"/>
                <w:b/>
                <w:bCs/>
                <w:i w:val="false"/>
                <w:iCs w:val="false"/>
                <w:caps w:val="false"/>
                <w:color w:val="B91C1C"/>
                <w:sz w:val="17"/>
                <w:szCs w:val="17"/>
              </w:rPr>
              <w:t xml:space="preserve">EDITOR'S NOTE — DELETE THIS BOX BEFORE PUBLISHING</w:t>
            </w:r>
          </w:p>
          <w:p>
            <w:pPr>
              <w:spacing w:after="80" w:before="0" w:line="264"/>
              <w:jc w:val="left"/>
            </w:pPr>
            <w:r>
              <w:rPr>
                <w:rFonts w:ascii="Arial" w:cs="Arial" w:eastAsia="Arial" w:hAnsi="Arial"/>
                <w:b w:val="false"/>
                <w:bCs w:val="false"/>
                <w:i w:val="false"/>
                <w:iCs w:val="false"/>
                <w:caps w:val="false"/>
                <w:color w:val="374151"/>
                <w:sz w:val="16"/>
                <w:szCs w:val="16"/>
              </w:rPr>
              <w:t xml:space="preserve">•  Every figure, label and sentence in this document was produced by BudgetSmart Pro EN V-35 from the inputs for this fictional business. Nothing was rewritten by hand.</w:t>
            </w:r>
          </w:p>
          <w:p>
            <w:pPr>
              <w:spacing w:after="80" w:before="0" w:line="264"/>
              <w:jc w:val="left"/>
            </w:pPr>
            <w:r>
              <w:rPr>
                <w:rFonts w:ascii="Arial" w:cs="Arial" w:eastAsia="Arial" w:hAnsi="Arial"/>
                <w:b w:val="false"/>
                <w:bCs w:val="false"/>
                <w:i w:val="false"/>
                <w:iCs w:val="false"/>
                <w:caps w:val="false"/>
                <w:color w:val="374151"/>
                <w:sz w:val="16"/>
                <w:szCs w:val="16"/>
              </w:rPr>
              <w:t xml:space="preserve">•  The company is invented. Replace the name, project and figures if you want a different demo case.</w:t>
            </w:r>
          </w:p>
          <w:p>
            <w:pPr>
              <w:spacing w:after="80" w:before="0" w:line="264"/>
              <w:jc w:val="left"/>
            </w:pPr>
            <w:r>
              <w:rPr>
                <w:rFonts w:ascii="Arial" w:cs="Arial" w:eastAsia="Arial" w:hAnsi="Arial"/>
                <w:b w:val="false"/>
                <w:bCs w:val="false"/>
                <w:i w:val="false"/>
                <w:iCs w:val="false"/>
                <w:caps w:val="false"/>
                <w:color w:val="374151"/>
                <w:sz w:val="16"/>
                <w:szCs w:val="16"/>
              </w:rPr>
              <w:t xml:space="preserve">•  Delete this box before publishing.</w:t>
            </w:r>
          </w:p>
        </w:tc>
      </w:tr>
    </w:tbl>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Executive Summary</w:t>
      </w:r>
    </w:p>
    <w:p>
      <w:pPr>
        <w:spacing w:after="1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E3A8A" w:sz="4"/>
              <w:left w:val="single" w:color="1E3A8A" w:sz="18"/>
              <w:bottom w:val="single" w:color="1E3A8A" w:sz="4"/>
              <w:right w:val="single" w:color="1E3A8A" w:sz="4"/>
            </w:tcBorders>
            <w:shd w:fill="EFF6FF" w:color="auto" w:val="clear"/>
            <w:tcMar>
              <w:top w:type="dxa" w:w="170"/>
              <w:left w:type="dxa" w:w="190"/>
              <w:bottom w:type="dxa" w:w="170"/>
              <w:right w:type="dxa" w:w="190"/>
            </w:tcMar>
          </w:tcPr>
          <w:p>
            <w:pPr>
              <w:spacing w:after="120" w:before="0" w:line="264"/>
              <w:jc w:val="left"/>
            </w:pPr>
            <w:r>
              <w:rPr>
                <w:rFonts w:ascii="Arial" w:cs="Arial" w:eastAsia="Arial" w:hAnsi="Arial"/>
                <w:b/>
                <w:bCs/>
                <w:i w:val="false"/>
                <w:iCs w:val="false"/>
                <w:caps w:val="false"/>
                <w:color w:val="1E3A8A"/>
                <w:sz w:val="24"/>
                <w:szCs w:val="24"/>
              </w:rPr>
              <w:t xml:space="preserve">GO</w:t>
            </w:r>
          </w:p>
          <w:p>
            <w:pPr>
              <w:spacing w:after="0" w:before="0" w:line="264"/>
              <w:jc w:val="left"/>
            </w:pPr>
            <w:r>
              <w:rPr>
                <w:rFonts w:ascii="Arial" w:cs="Arial" w:eastAsia="Arial" w:hAnsi="Arial"/>
                <w:b w:val="false"/>
                <w:bCs w:val="false"/>
                <w:i w:val="false"/>
                <w:iCs w:val="false"/>
                <w:caps w:val="false"/>
                <w:color w:val="1E3A8A"/>
                <w:sz w:val="19"/>
                <w:szCs w:val="19"/>
              </w:rPr>
              <w:t xml:space="preserve">Test 1 — operational profitability: the business passes. Annual operating profit $292,400. Test 2 — deal economics: the deal passes at the price entered. Test 3 — financing structure: the plan is executable. Conclusion: All three tests passed: the business is operationally profitable, the return meets the bar you set, and the financing structure is executable. This assessment is based solely on the data and assumptions you entered.</w:t>
            </w:r>
          </w:p>
        </w:tc>
      </w:tr>
    </w:tbl>
    <w:p>
      <w:pPr>
        <w:spacing w:after="1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Investment (required price)</w:t>
            </w:r>
          </w:p>
          <w:p>
            <w:pPr>
              <w:spacing w:after="0" w:before="0" w:line="264"/>
              <w:jc w:val="left"/>
            </w:pPr>
            <w:r>
              <w:rPr>
                <w:rFonts w:ascii="Arial" w:cs="Arial" w:eastAsia="Arial" w:hAnsi="Arial"/>
                <w:b/>
                <w:bCs/>
                <w:i w:val="false"/>
                <w:iCs w:val="false"/>
                <w:caps w:val="false"/>
                <w:color w:val="0F172A"/>
                <w:sz w:val="22"/>
                <w:szCs w:val="22"/>
              </w:rPr>
              <w:t xml:space="preserve">$1,050,000</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Operating Profit annual (EBIT)</w:t>
            </w:r>
          </w:p>
          <w:p>
            <w:pPr>
              <w:spacing w:after="0" w:before="0" w:line="264"/>
              <w:jc w:val="left"/>
            </w:pPr>
            <w:r>
              <w:rPr>
                <w:rFonts w:ascii="Arial" w:cs="Arial" w:eastAsia="Arial" w:hAnsi="Arial"/>
                <w:b/>
                <w:bCs/>
                <w:i w:val="false"/>
                <w:iCs w:val="false"/>
                <w:caps w:val="false"/>
                <w:color w:val="0F172A"/>
                <w:sz w:val="22"/>
                <w:szCs w:val="22"/>
              </w:rPr>
              <w:t xml:space="preserve">$292,400</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Business value (4x multiple)</w:t>
            </w:r>
          </w:p>
          <w:p>
            <w:pPr>
              <w:spacing w:after="0" w:before="0" w:line="264"/>
              <w:jc w:val="left"/>
            </w:pPr>
            <w:r>
              <w:rPr>
                <w:rFonts w:ascii="Arial" w:cs="Arial" w:eastAsia="Arial" w:hAnsi="Arial"/>
                <w:b/>
                <w:bCs/>
                <w:i w:val="false"/>
                <w:iCs w:val="false"/>
                <w:caps w:val="false"/>
                <w:color w:val="0F172A"/>
                <w:sz w:val="22"/>
                <w:szCs w:val="22"/>
              </w:rPr>
              <w:t xml:space="preserve">$1,169,600</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Conservative value gap vs. investment (4x)</w:t>
            </w:r>
          </w:p>
          <w:p>
            <w:pPr>
              <w:spacing w:after="0" w:before="0" w:line="264"/>
              <w:jc w:val="left"/>
            </w:pPr>
            <w:r>
              <w:rPr>
                <w:rFonts w:ascii="Arial" w:cs="Arial" w:eastAsia="Arial" w:hAnsi="Arial"/>
                <w:b/>
                <w:bCs/>
                <w:i w:val="false"/>
                <w:iCs w:val="false"/>
                <w:caps w:val="false"/>
                <w:color w:val="0F172A"/>
                <w:sz w:val="22"/>
                <w:szCs w:val="22"/>
              </w:rPr>
              <w:t xml:space="preserve">$119,600</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Deal IRR</w:t>
            </w:r>
          </w:p>
          <w:p>
            <w:pPr>
              <w:spacing w:after="0" w:before="0" w:line="264"/>
              <w:jc w:val="left"/>
            </w:pPr>
            <w:r>
              <w:rPr>
                <w:rFonts w:ascii="Arial" w:cs="Arial" w:eastAsia="Arial" w:hAnsi="Arial"/>
                <w:b/>
                <w:bCs/>
                <w:i w:val="false"/>
                <w:iCs w:val="false"/>
                <w:caps w:val="false"/>
                <w:color w:val="0F172A"/>
                <w:sz w:val="22"/>
                <w:szCs w:val="22"/>
              </w:rPr>
              <w:t xml:space="preserve">29.1%</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Return on equity (incl. sale, net of debt)</w:t>
            </w:r>
          </w:p>
          <w:p>
            <w:pPr>
              <w:spacing w:after="0" w:before="0" w:line="264"/>
              <w:jc w:val="left"/>
            </w:pPr>
            <w:r>
              <w:rPr>
                <w:rFonts w:ascii="Arial" w:cs="Arial" w:eastAsia="Arial" w:hAnsi="Arial"/>
                <w:b/>
                <w:bCs/>
                <w:i w:val="false"/>
                <w:iCs w:val="false"/>
                <w:caps w:val="false"/>
                <w:color w:val="0F172A"/>
                <w:sz w:val="22"/>
                <w:szCs w:val="22"/>
              </w:rPr>
              <w:t xml:space="preserve">290.3%</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Payback period</w:t>
            </w:r>
          </w:p>
          <w:p>
            <w:pPr>
              <w:spacing w:after="0" w:before="0" w:line="264"/>
              <w:jc w:val="left"/>
            </w:pPr>
            <w:r>
              <w:rPr>
                <w:rFonts w:ascii="Arial" w:cs="Arial" w:eastAsia="Arial" w:hAnsi="Arial"/>
                <w:b/>
                <w:bCs/>
                <w:i w:val="false"/>
                <w:iCs w:val="false"/>
                <w:caps w:val="false"/>
                <w:color w:val="0F172A"/>
                <w:sz w:val="22"/>
                <w:szCs w:val="22"/>
              </w:rPr>
              <w:t xml:space="preserve">3.6 years</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Financing structure</w:t>
            </w:r>
          </w:p>
          <w:p>
            <w:pPr>
              <w:spacing w:after="0" w:before="0" w:line="264"/>
              <w:jc w:val="left"/>
            </w:pPr>
            <w:r>
              <w:rPr>
                <w:rFonts w:ascii="Arial" w:cs="Arial" w:eastAsia="Arial" w:hAnsi="Arial"/>
                <w:b/>
                <w:bCs/>
                <w:i w:val="false"/>
                <w:iCs w:val="false"/>
                <w:caps w:val="false"/>
                <w:color w:val="0F172A"/>
                <w:sz w:val="22"/>
                <w:szCs w:val="22"/>
              </w:rPr>
              <w:t xml:space="preserve">Financing structure OK</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DSCR</w:t>
            </w:r>
          </w:p>
          <w:p>
            <w:pPr>
              <w:spacing w:after="0" w:before="0" w:line="264"/>
              <w:jc w:val="left"/>
            </w:pPr>
            <w:r>
              <w:rPr>
                <w:rFonts w:ascii="Arial" w:cs="Arial" w:eastAsia="Arial" w:hAnsi="Arial"/>
                <w:b/>
                <w:bCs/>
                <w:i w:val="false"/>
                <w:iCs w:val="false"/>
                <w:caps w:val="false"/>
                <w:color w:val="0F172A"/>
                <w:sz w:val="22"/>
                <w:szCs w:val="22"/>
              </w:rPr>
              <w:t xml:space="preserve">2.74 (year 1)</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Recommendation</w:t>
            </w:r>
          </w:p>
          <w:p>
            <w:pPr>
              <w:spacing w:after="0" w:before="0" w:line="264"/>
              <w:jc w:val="left"/>
            </w:pPr>
            <w:r>
              <w:rPr>
                <w:rFonts w:ascii="Arial" w:cs="Arial" w:eastAsia="Arial" w:hAnsi="Arial"/>
                <w:b/>
                <w:bCs/>
                <w:i w:val="false"/>
                <w:iCs w:val="false"/>
                <w:caps w:val="false"/>
                <w:color w:val="0F172A"/>
                <w:sz w:val="22"/>
                <w:szCs w:val="22"/>
              </w:rPr>
              <w:t xml:space="preserve">GO</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val="false"/>
                <w:bCs w:val="false"/>
                <w:i w:val="false"/>
                <w:iCs w:val="false"/>
                <w:caps w:val="false"/>
                <w:color w:val="0F172A"/>
                <w:sz w:val="20"/>
                <w:szCs w:val="20"/>
              </w:rPr>
              <w:t xml:space="preserve"/>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val="false"/>
                <w:bCs w:val="false"/>
                <w:i w:val="false"/>
                <w:iCs w:val="false"/>
                <w:caps w:val="false"/>
                <w:color w:val="0F172A"/>
                <w:sz w:val="20"/>
                <w:szCs w:val="20"/>
              </w:rPr>
              <w:t xml:space="preserve"/>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100" w:before="0" w:line="264"/>
        <w:jc w:val="left"/>
      </w:pPr>
      <w:r>
        <w:rPr>
          <w:rFonts w:ascii="Arial" w:cs="Arial" w:eastAsia="Arial" w:hAnsi="Arial"/>
          <w:b w:val="false"/>
          <w:bCs w:val="false"/>
          <w:i w:val="false"/>
          <w:iCs w:val="false"/>
          <w:caps w:val="false"/>
          <w:color w:val="475569"/>
          <w:sz w:val="17"/>
          <w:szCs w:val="17"/>
        </w:rPr>
        <w:t xml:space="preserve">This summary presents the key results only and is based on the data and assumptions entered.</w:t>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Valuation</w:t>
      </w:r>
    </w:p>
    <w:p>
      <w:pPr>
        <w:spacing w:after="100" w:before="0" w:line="264"/>
        <w:jc w:val="left"/>
      </w:pPr>
      <w:r>
        <w:rPr>
          <w:rFonts w:ascii="Arial" w:cs="Arial" w:eastAsia="Arial" w:hAnsi="Arial"/>
          <w:b w:val="false"/>
          <w:bCs w:val="false"/>
          <w:i w:val="false"/>
          <w:iCs w:val="false"/>
          <w:caps w:val="false"/>
          <w:color w:val="475569"/>
          <w:sz w:val="17"/>
          <w:szCs w:val="17"/>
        </w:rPr>
        <w:t xml:space="preserve">Primary method — market multiple on operating profit (EBIT). Business value = the future stream of receipts (gross). Value gap vs. investment = business value minus the investment (net) — this is what is assessed. A conservative 4× multiple determines the verdict. Annual operating profit (EBIT): $292,400. All valuation figures are pre-tax.</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1000"/>
        <w:gridCol w:w="1400"/>
        <w:gridCol w:w="4126"/>
      </w:tblGrid>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Method</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Multiple</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Business value</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Notes</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Conservative — exit anchor</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×4</w:t>
            </w:r>
          </w:p>
        </w:tc>
        <w:tc>
          <w:tcPr>
            <w:tcW w:type="dxa" w:w="1400"/>
            <w:tcBorders>
              <w:top w:val="single" w:color="CBD5E1" w:sz="2"/>
              <w:left w:val="single" w:color="CBD5E1" w:sz="2"/>
              <w:bottom w:val="single" w:color="CBD5E1" w:sz="2"/>
              <w:right w:val="single" w:color="CBD5E1" w:sz="2"/>
            </w:tcBorders>
            <w:shd w:fill="E2E8F0" w:color="auto" w:val="clear"/>
            <w:tcMar>
              <w:top w:type="dxa" w:w="90"/>
              <w:left w:type="dxa" w:w="110"/>
              <w:bottom w:type="dxa" w:w="90"/>
              <w:right w:type="dxa" w:w="110"/>
            </w:tcMar>
            <w:vAlign w:val="center"/>
          </w:tcPr>
          <w:p>
            <w:pPr>
              <w:spacing w:after="0" w:before="0" w:line="264"/>
              <w:jc w:val="center"/>
            </w:pPr>
            <w:r>
              <w:rPr>
                <w:rFonts w:ascii="Arial" w:cs="Arial" w:eastAsia="Arial" w:hAnsi="Arial"/>
                <w:b/>
                <w:bCs/>
                <w:i w:val="false"/>
                <w:iCs w:val="false"/>
                <w:caps w:val="false"/>
                <w:color w:val="0F172A"/>
                <w:sz w:val="17"/>
                <w:szCs w:val="17"/>
              </w:rPr>
              <w:t xml:space="preserve">$1,169,600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Lower bound; high dependence on owner / key customer</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Typical</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×5</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$1,462,000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Relatively stable business, reasonable customer diversification</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Stable / growth</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×6</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$1,754,400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Recurring revenue, brand, low dependence</w:t>
            </w:r>
          </w:p>
        </w:tc>
      </w:tr>
    </w:tbl>
    <w:p>
      <w:pPr>
        <w:spacing w:after="1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1000"/>
        <w:gridCol w:w="1400"/>
        <w:gridCol w:w="4126"/>
      </w:tblGrid>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Test</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Status</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Value</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Meaning</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Conservative value gap vs. investment (4x)</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+$119,600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The net value the deal creates. Negative = price exceeds the conservative value; the fair price at a 4x multiple is $1,169,600.</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Value gap — DCF cross-check (Estimate 1)</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$511,668</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Cross-check: five years of EBIT discounted at the required return plus exit value at a 4x multiple. Indicative, not decisive.</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100" w:before="0" w:line="264"/>
        <w:jc w:val="left"/>
      </w:pPr>
      <w:r>
        <w:rPr>
          <w:rFonts w:ascii="Arial" w:cs="Arial" w:eastAsia="Arial" w:hAnsi="Arial"/>
          <w:b w:val="false"/>
          <w:bCs w:val="false"/>
          <w:i w:val="false"/>
          <w:iCs w:val="false"/>
          <w:caps w:val="false"/>
          <w:color w:val="475569"/>
          <w:sz w:val="17"/>
          <w:szCs w:val="17"/>
        </w:rPr>
        <w:t xml:space="preserve">All valuations assume a business with no change (no growth or decline) over the period — a constant stream of receipts. The valuation assumes a clean transaction: transfer with normal working capital, no financial debt or excess cash in the business, and no surplus assets — all balance-sheet adjustments are zero.</w:t>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Key KPIs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Investment (required price)</w:t>
            </w:r>
          </w:p>
          <w:p>
            <w:pPr>
              <w:spacing w:after="0" w:before="0" w:line="264"/>
              <w:jc w:val="left"/>
            </w:pPr>
            <w:r>
              <w:rPr>
                <w:rFonts w:ascii="Arial" w:cs="Arial" w:eastAsia="Arial" w:hAnsi="Arial"/>
                <w:b/>
                <w:bCs/>
                <w:i w:val="false"/>
                <w:iCs w:val="false"/>
                <w:caps w:val="false"/>
                <w:color w:val="0F172A"/>
                <w:sz w:val="22"/>
                <w:szCs w:val="22"/>
              </w:rPr>
              <w:t xml:space="preserve">$1,050,000</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Operating Profit annual (EBIT)</w:t>
            </w:r>
          </w:p>
          <w:p>
            <w:pPr>
              <w:spacing w:after="0" w:before="0" w:line="264"/>
              <w:jc w:val="left"/>
            </w:pPr>
            <w:r>
              <w:rPr>
                <w:rFonts w:ascii="Arial" w:cs="Arial" w:eastAsia="Arial" w:hAnsi="Arial"/>
                <w:b/>
                <w:bCs/>
                <w:i w:val="false"/>
                <w:iCs w:val="false"/>
                <w:caps w:val="false"/>
                <w:color w:val="0F172A"/>
                <w:sz w:val="22"/>
                <w:szCs w:val="22"/>
              </w:rPr>
              <w:t xml:space="preserve">$292,400</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Business value (4x multiple)</w:t>
            </w:r>
          </w:p>
          <w:p>
            <w:pPr>
              <w:spacing w:after="0" w:before="0" w:line="264"/>
              <w:jc w:val="left"/>
            </w:pPr>
            <w:r>
              <w:rPr>
                <w:rFonts w:ascii="Arial" w:cs="Arial" w:eastAsia="Arial" w:hAnsi="Arial"/>
                <w:b/>
                <w:bCs/>
                <w:i w:val="false"/>
                <w:iCs w:val="false"/>
                <w:caps w:val="false"/>
                <w:color w:val="0F172A"/>
                <w:sz w:val="22"/>
                <w:szCs w:val="22"/>
              </w:rPr>
              <w:t xml:space="preserve">$1,169,600</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Business value (5x multiple)</w:t>
            </w:r>
          </w:p>
          <w:p>
            <w:pPr>
              <w:spacing w:after="0" w:before="0" w:line="264"/>
              <w:jc w:val="left"/>
            </w:pPr>
            <w:r>
              <w:rPr>
                <w:rFonts w:ascii="Arial" w:cs="Arial" w:eastAsia="Arial" w:hAnsi="Arial"/>
                <w:b/>
                <w:bCs/>
                <w:i w:val="false"/>
                <w:iCs w:val="false"/>
                <w:caps w:val="false"/>
                <w:color w:val="0F172A"/>
                <w:sz w:val="22"/>
                <w:szCs w:val="22"/>
              </w:rPr>
              <w:t xml:space="preserve">$1,462,000</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Business value (6x multiple)</w:t>
            </w:r>
          </w:p>
          <w:p>
            <w:pPr>
              <w:spacing w:after="0" w:before="0" w:line="264"/>
              <w:jc w:val="left"/>
            </w:pPr>
            <w:r>
              <w:rPr>
                <w:rFonts w:ascii="Arial" w:cs="Arial" w:eastAsia="Arial" w:hAnsi="Arial"/>
                <w:b/>
                <w:bCs/>
                <w:i w:val="false"/>
                <w:iCs w:val="false"/>
                <w:caps w:val="false"/>
                <w:color w:val="0F172A"/>
                <w:sz w:val="22"/>
                <w:szCs w:val="22"/>
              </w:rPr>
              <w:t xml:space="preserve">$1,754,400</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Conservative value gap vs. investment (4x)</w:t>
            </w:r>
          </w:p>
          <w:p>
            <w:pPr>
              <w:spacing w:after="0" w:before="0" w:line="264"/>
              <w:jc w:val="left"/>
            </w:pPr>
            <w:r>
              <w:rPr>
                <w:rFonts w:ascii="Arial" w:cs="Arial" w:eastAsia="Arial" w:hAnsi="Arial"/>
                <w:b/>
                <w:bCs/>
                <w:i w:val="false"/>
                <w:iCs w:val="false"/>
                <w:caps w:val="false"/>
                <w:color w:val="0F172A"/>
                <w:sz w:val="22"/>
                <w:szCs w:val="22"/>
              </w:rPr>
              <w:t xml:space="preserve">$119,600</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Deal IRR</w:t>
            </w:r>
          </w:p>
          <w:p>
            <w:pPr>
              <w:spacing w:after="0" w:before="0" w:line="264"/>
              <w:jc w:val="left"/>
            </w:pPr>
            <w:r>
              <w:rPr>
                <w:rFonts w:ascii="Arial" w:cs="Arial" w:eastAsia="Arial" w:hAnsi="Arial"/>
                <w:b/>
                <w:bCs/>
                <w:i w:val="false"/>
                <w:iCs w:val="false"/>
                <w:caps w:val="false"/>
                <w:color w:val="0F172A"/>
                <w:sz w:val="22"/>
                <w:szCs w:val="22"/>
              </w:rPr>
              <w:t xml:space="preserve">29.1%</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Return on equity (incl. sale, net of debt)</w:t>
            </w:r>
          </w:p>
          <w:p>
            <w:pPr>
              <w:spacing w:after="0" w:before="0" w:line="264"/>
              <w:jc w:val="left"/>
            </w:pPr>
            <w:r>
              <w:rPr>
                <w:rFonts w:ascii="Arial" w:cs="Arial" w:eastAsia="Arial" w:hAnsi="Arial"/>
                <w:b/>
                <w:bCs/>
                <w:i w:val="false"/>
                <w:iCs w:val="false"/>
                <w:caps w:val="false"/>
                <w:color w:val="0F172A"/>
                <w:sz w:val="22"/>
                <w:szCs w:val="22"/>
              </w:rPr>
              <w:t xml:space="preserve">290.3%</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Payback period</w:t>
            </w:r>
          </w:p>
          <w:p>
            <w:pPr>
              <w:spacing w:after="0" w:before="0" w:line="264"/>
              <w:jc w:val="left"/>
            </w:pPr>
            <w:r>
              <w:rPr>
                <w:rFonts w:ascii="Arial" w:cs="Arial" w:eastAsia="Arial" w:hAnsi="Arial"/>
                <w:b/>
                <w:bCs/>
                <w:i w:val="false"/>
                <w:iCs w:val="false"/>
                <w:caps w:val="false"/>
                <w:color w:val="0F172A"/>
                <w:sz w:val="22"/>
                <w:szCs w:val="22"/>
              </w:rPr>
              <w:t xml:space="preserve">3.6 years</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DSCR</w:t>
            </w:r>
          </w:p>
          <w:p>
            <w:pPr>
              <w:spacing w:after="0" w:before="0" w:line="264"/>
              <w:jc w:val="left"/>
            </w:pPr>
            <w:r>
              <w:rPr>
                <w:rFonts w:ascii="Arial" w:cs="Arial" w:eastAsia="Arial" w:hAnsi="Arial"/>
                <w:b/>
                <w:bCs/>
                <w:i w:val="false"/>
                <w:iCs w:val="false"/>
                <w:caps w:val="false"/>
                <w:color w:val="0F172A"/>
                <w:sz w:val="22"/>
                <w:szCs w:val="22"/>
              </w:rPr>
              <w:t xml:space="preserve">2.74 (year 1)</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val="false"/>
                <w:bCs w:val="false"/>
                <w:i w:val="false"/>
                <w:iCs w:val="false"/>
                <w:caps w:val="false"/>
                <w:color w:val="0F172A"/>
                <w:sz w:val="20"/>
                <w:szCs w:val="20"/>
              </w:rPr>
              <w:t xml:space="preserve"/>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val="false"/>
                <w:bCs w:val="false"/>
                <w:i w:val="false"/>
                <w:iCs w:val="false"/>
                <w:caps w:val="false"/>
                <w:color w:val="0F172A"/>
                <w:sz w:val="20"/>
                <w:szCs w:val="20"/>
              </w:rPr>
              <w:t xml:space="preserve"/>
            </w:r>
          </w:p>
        </w:tc>
      </w:tr>
    </w:tbl>
    <w:p>
      <w:pPr>
        <w:spacing w:after="12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Risk Analysis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1000"/>
        <w:gridCol w:w="1400"/>
        <w:gridCol w:w="4126"/>
      </w:tblGrid>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Test</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Status</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Value</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Meaning</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Net Profit annual</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$195,355</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Annual net profit is positive.</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Business value (4x multiple)</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Info</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$1,169,600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Business value based on a conservative 4x multiple of operating profit — gross, before investment.</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Conservative value gap vs. investment (4x)</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$119,600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The decisive conservative metric. Positive — price is below conservative value.</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Deal IRR</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29.1%</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Internal rate of return on a 5-year operating cash-flow stream versus the personal benchmark (non-disqualifying reference line).</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Payback period</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Info</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3.6 years</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Informational metric only — does not determine GO/NO-GO by itself.</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Cumulative ROI (undiscounted)</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Info</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39.2%</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Informational metric only — not discounted and does not determine GO/NO-GO.</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IRR on equity</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45.0%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Investor return test after financing structure.</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Leverage effect</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Info</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15.8%</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Gap between equity IRR and deal IRR.</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Equity payback period</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Info</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2.8 years</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Equity ÷ annual cash flow to owners.</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DSCR</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2.74 (year 1)</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Debt-service capacity based on available cash flow.</w:t>
            </w:r>
          </w:p>
        </w:tc>
      </w:tr>
    </w:tbl>
    <w:p>
      <w:pPr>
        <w:spacing w:after="12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Annual Forecast Table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38"/>
        <w:gridCol w:w="586"/>
        <w:gridCol w:w="586"/>
        <w:gridCol w:w="586"/>
        <w:gridCol w:w="586"/>
        <w:gridCol w:w="586"/>
        <w:gridCol w:w="586"/>
        <w:gridCol w:w="586"/>
        <w:gridCol w:w="586"/>
        <w:gridCol w:w="586"/>
        <w:gridCol w:w="586"/>
        <w:gridCol w:w="586"/>
        <w:gridCol w:w="586"/>
        <w:gridCol w:w="956"/>
      </w:tblGrid>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Line Item</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2</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4</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5</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6</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9</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11</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12</w:t>
            </w:r>
          </w:p>
        </w:tc>
        <w:tc>
          <w:tcPr>
            <w:tcW w:type="dxa" w:w="95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Total</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Revenue</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200,000</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2,400,000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COGS</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90,000</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1,080,000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Gross Profit</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110,000</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1,320,000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Expenses</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81,050</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972,600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EBITDA</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28,950</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347,400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Net Profit</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16,115</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16,145</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16,174</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16,204</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16,233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16,263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16,294</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16,324</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16,354</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16,385</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16,416</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16,447</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195,355</w:t>
            </w:r>
          </w:p>
        </w:tc>
      </w:tr>
    </w:tbl>
    <w:p>
      <w:pPr>
        <w:spacing w:after="12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Cash Flow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2900"/>
        <w:gridCol w:w="2926"/>
      </w:tblGrid>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Monthly cash flow</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Cash balance at month end</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Opening balance</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120,000</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37,911</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157,911</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2</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172,489</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3</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187,066</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4</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201,644</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5</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216,222</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6</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230,800</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7</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245,377</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8</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259,955</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9</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274,533</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10</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289,110</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11</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303,688</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12</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14,578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318,266</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100" w:before="0" w:line="264"/>
        <w:jc w:val="left"/>
      </w:pPr>
      <w:r>
        <w:rPr>
          <w:rFonts w:ascii="Arial" w:cs="Arial" w:eastAsia="Arial" w:hAnsi="Arial"/>
          <w:b w:val="false"/>
          <w:bCs w:val="false"/>
          <w:i w:val="false"/>
          <w:iCs w:val="false"/>
          <w:caps w:val="false"/>
          <w:color w:val="475569"/>
          <w:sz w:val="17"/>
          <w:szCs w:val="17"/>
        </w:rPr>
        <w:t xml:space="preserve">Negative months are highlighted in red for early detection of cash-flow pressure.</w:t>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Model Assumptions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Assumption</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Value</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Gross margin</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55%</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Growth rate / forecast source</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Entered revenue forecast</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Seasonality</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Based on history (average of monthly revenue patterns / manual edit)</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Monthly payroll</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$51,500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Monthly marketing</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$3,750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Monthly fixed expenses</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$25,800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Tax rate (default)</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23%</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Credit days (cash timing only)</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Customers Net 10 · Suppliers Net 30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Initial investment</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$1,050,000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Repayment method</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Mixed financing - equity + loan</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Valuation basis (multiples, DCF, IRR, payback)</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EBIT - $292,400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Required return (pre-tax) (default)</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15%</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80" w:before="120" w:line="264"/>
        <w:jc w:val="left"/>
      </w:pPr>
      <w:r>
        <w:rPr>
          <w:rFonts w:ascii="Arial" w:cs="Arial" w:eastAsia="Arial" w:hAnsi="Arial"/>
          <w:b/>
          <w:bCs/>
          <w:i w:val="false"/>
          <w:iCs w:val="false"/>
          <w:caps w:val="false"/>
          <w:color w:val="0F172A"/>
          <w:sz w:val="17"/>
          <w:szCs w:val="17"/>
        </w:rPr>
        <w:t xml:space="preserve">Not included in the model:</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Full bank obligo, short-term liabilities and balance-sheet capital structure - these require external verification before a decision</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The valuation assumes the business continues unchanged - growth the buyer still has to generate is not priced in</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All figures are exclusive of VAT or sales tax</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Owner drawings / dividends - not modeled</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One-time receipts or expenses that were not entered</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Balance-sheet adjustments (working capital, net debt, surplus assets) - not entered, and assumed to be zero</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Depreciation assumes a full year of use, spread evenly over 12 months - the purchase month is not considered</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Interest and principal are spread evenly over 12 months - an actual amortization schedule may differ</w:t>
      </w:r>
    </w:p>
    <w:p>
      <w:pPr>
        <w:spacing w:after="8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Conclusions and Next Steps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Strengths</w:t>
            </w:r>
          </w:p>
          <w:p>
            <w:pPr>
              <w:spacing w:after="0" w:before="0" w:line="264"/>
              <w:jc w:val="left"/>
            </w:pPr>
            <w:r>
              <w:rPr>
                <w:rFonts w:ascii="Arial" w:cs="Arial" w:eastAsia="Arial" w:hAnsi="Arial"/>
                <w:b/>
                <w:bCs/>
                <w:i w:val="false"/>
                <w:iCs w:val="false"/>
                <w:caps w:val="false"/>
                <w:color w:val="0F172A"/>
                <w:sz w:val="18"/>
                <w:szCs w:val="18"/>
              </w:rPr>
              <w:t xml:space="preserve">3 business strengths were identified based on the entered data.</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Points for Attention</w:t>
            </w:r>
          </w:p>
          <w:p>
            <w:pPr>
              <w:spacing w:after="0" w:before="0" w:line="264"/>
              <w:jc w:val="left"/>
            </w:pPr>
            <w:r>
              <w:rPr>
                <w:rFonts w:ascii="Arial" w:cs="Arial" w:eastAsia="Arial" w:hAnsi="Arial"/>
                <w:b/>
                <w:bCs/>
                <w:i w:val="false"/>
                <w:iCs w:val="false"/>
                <w:caps w:val="false"/>
                <w:color w:val="0F172A"/>
                <w:sz w:val="18"/>
                <w:szCs w:val="18"/>
              </w:rPr>
              <w:t xml:space="preserve">1 points require deeper review.</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Action Recommendations</w:t>
            </w:r>
          </w:p>
          <w:p>
            <w:pPr>
              <w:spacing w:after="0" w:before="0" w:line="264"/>
              <w:jc w:val="left"/>
            </w:pPr>
            <w:r>
              <w:rPr>
                <w:rFonts w:ascii="Arial" w:cs="Arial" w:eastAsia="Arial" w:hAnsi="Arial"/>
                <w:b/>
                <w:bCs/>
                <w:i w:val="false"/>
                <w:iCs w:val="false"/>
                <w:caps w:val="false"/>
                <w:color w:val="0F172A"/>
                <w:sz w:val="18"/>
                <w:szCs w:val="18"/>
              </w:rPr>
              <w:t xml:space="preserve">3 implementation recommendations, to be reviewed in a personal consultation.</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1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E3A8A" w:sz="4"/>
              <w:left w:val="single" w:color="1E3A8A" w:sz="18"/>
              <w:bottom w:val="single" w:color="1E3A8A" w:sz="4"/>
              <w:right w:val="single" w:color="1E3A8A" w:sz="4"/>
            </w:tcBorders>
            <w:shd w:fill="EFF6FF" w:color="auto" w:val="clear"/>
            <w:tcMar>
              <w:top w:type="dxa" w:w="170"/>
              <w:left w:type="dxa" w:w="190"/>
              <w:bottom w:type="dxa" w:w="170"/>
              <w:right w:type="dxa" w:w="190"/>
            </w:tcMar>
          </w:tcPr>
          <w:p>
            <w:pPr>
              <w:spacing w:after="0" w:before="0" w:line="264"/>
              <w:jc w:val="left"/>
            </w:pPr>
            <w:r>
              <w:rPr>
                <w:rFonts w:ascii="Arial" w:cs="Arial" w:eastAsia="Arial" w:hAnsi="Arial"/>
                <w:b/>
                <w:bCs/>
                <w:i w:val="false"/>
                <w:iCs w:val="false"/>
                <w:caps w:val="false"/>
                <w:color w:val="1E3A8A"/>
                <w:sz w:val="24"/>
                <w:szCs w:val="24"/>
              </w:rPr>
              <w:t xml:space="preserve">Want to understand what the numbers say about your business?</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80" w:before="0" w:line="264"/>
        <w:jc w:val="left"/>
      </w:pPr>
      <w:r>
        <w:rPr>
          <w:rFonts w:ascii="Arial" w:cs="Arial" w:eastAsia="Arial" w:hAnsi="Arial"/>
          <w:b w:val="false"/>
          <w:bCs w:val="false"/>
          <w:i w:val="false"/>
          <w:iCs w:val="false"/>
          <w:caps w:val="false"/>
          <w:color w:val="475569"/>
          <w:sz w:val="19"/>
          <w:szCs w:val="19"/>
        </w:rPr>
        <w:t xml:space="preserve">A deeper interpretation — identifying risks, leveraging strengths and finding ways to improve — is reviewed together in an initial consultation at no cost.</w:t>
      </w:r>
    </w:p>
    <w:p>
      <w:pPr>
        <w:spacing w:after="80" w:before="0" w:line="264"/>
        <w:jc w:val="center"/>
      </w:pPr>
      <w:r>
        <w:rPr>
          <w:rFonts w:ascii="Arial" w:cs="Arial" w:eastAsia="Arial" w:hAnsi="Arial"/>
          <w:b/>
          <w:bCs/>
          <w:i w:val="false"/>
          <w:iCs w:val="false"/>
          <w:caps w:val="false"/>
          <w:color w:val="1E3A8A"/>
          <w:sz w:val="20"/>
          <w:szCs w:val="20"/>
        </w:rPr>
        <w:t xml:space="preserve">Ezra Eliezer — External CFO and Financial Consultant</w:t>
      </w:r>
    </w:p>
    <w:p>
      <w:pPr>
        <w:spacing w:after="80" w:before="0" w:line="264"/>
        <w:jc w:val="center"/>
      </w:pPr>
      <w:r>
        <w:rPr>
          <w:rFonts w:ascii="Arial" w:cs="Arial" w:eastAsia="Arial" w:hAnsi="Arial"/>
          <w:b/>
          <w:bCs/>
          <w:i w:val="false"/>
          <w:iCs w:val="false"/>
          <w:caps w:val="false"/>
          <w:color w:val="1E3A8A"/>
          <w:sz w:val="20"/>
          <w:szCs w:val="20"/>
        </w:rPr>
        <w:t xml:space="preserve">050-2900102 · ezra@ezraeliezer.com · ezraeliezer.com</w:t>
      </w:r>
    </w:p>
    <w:p>
      <w:pPr>
        <w:spacing w:after="120"/>
      </w:pPr>
      <w:r>
        <w:rPr>
          <w:rFonts w:ascii="Arial" w:cs="Arial" w:eastAsia="Arial" w:hAnsi="Arial"/>
          <w:b w:val="false"/>
          <w:bCs w:val="false"/>
          <w:i w:val="false"/>
          <w:iCs w:val="false"/>
          <w:caps w:val="false"/>
          <w:color w:val="0F172A"/>
          <w:sz w:val="12"/>
          <w:szCs w:val="12"/>
        </w:rPr>
        <w:t xml:space="preserve"/>
      </w:r>
    </w:p>
    <w:p>
      <w:pPr>
        <w:spacing w:after="120"/>
      </w:pPr>
      <w:r>
        <w:rPr>
          <w:rFonts w:ascii="Arial" w:cs="Arial" w:eastAsia="Arial" w:hAnsi="Arial"/>
          <w:b w:val="false"/>
          <w:bCs w:val="false"/>
          <w:i w:val="false"/>
          <w:iCs w:val="false"/>
          <w:caps w:val="false"/>
          <w:color w:val="0F172A"/>
          <w:sz w:val="12"/>
          <w:szCs w:val="12"/>
        </w:rPr>
        <w:t xml:space="preserve"/>
      </w:r>
    </w:p>
    <w:p>
      <w:pPr>
        <w:spacing w:after="80" w:before="0" w:line="264"/>
        <w:jc w:val="left"/>
      </w:pPr>
      <w:r>
        <w:rPr>
          <w:rFonts w:ascii="Arial" w:cs="Arial" w:eastAsia="Arial" w:hAnsi="Arial"/>
          <w:b w:val="false"/>
          <w:bCs w:val="false"/>
          <w:i w:val="false"/>
          <w:iCs w:val="false"/>
          <w:caps w:val="false"/>
          <w:color w:val="475569"/>
          <w:sz w:val="15"/>
          <w:szCs w:val="15"/>
        </w:rPr>
        <w:t xml:space="preserve">Professional disclaimer: This report is based on the data and assumptions entered into BudgetSmart and does not constitute financial, business, legal, or investment advice. Actual results may differ from the forecast shown. We recommend reviewing the data with a qualified professional before making business or financial decisions.</w:t>
      </w:r>
    </w:p>
    <w:p>
      <w:pPr>
        <w:spacing w:after="120"/>
      </w:pPr>
      <w:r>
        <w:rPr>
          <w:rFonts w:ascii="Arial" w:cs="Arial" w:eastAsia="Arial" w:hAnsi="Arial"/>
          <w:b w:val="false"/>
          <w:bCs w:val="false"/>
          <w:i w:val="false"/>
          <w:iCs w:val="false"/>
          <w:caps w:val="false"/>
          <w:color w:val="0F172A"/>
          <w:sz w:val="12"/>
          <w:szCs w:val="12"/>
        </w:rPr>
        <w:t xml:space="preserve"/>
      </w:r>
    </w:p>
    <w:p>
      <w:pPr>
        <w:spacing w:after="80" w:before="0" w:line="264"/>
        <w:jc w:val="left"/>
      </w:pPr>
      <w:r>
        <w:rPr>
          <w:rFonts w:ascii="Arial" w:cs="Arial" w:eastAsia="Arial" w:hAnsi="Arial"/>
          <w:b w:val="false"/>
          <w:bCs w:val="false"/>
          <w:i w:val="false"/>
          <w:iCs w:val="false"/>
          <w:caps w:val="false"/>
          <w:color w:val="475569"/>
          <w:sz w:val="15"/>
          <w:szCs w:val="15"/>
        </w:rPr>
        <w:t xml:space="preserve">Generated with BudgetSmart Pro · Licensed copy · License BSP-0000-000000 · © Ezra Eliezer</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6"/>
      </w:pBdr>
      <w:spacing w:before="60"/>
      <w:jc w:val="center"/>
    </w:pPr>
    <w:r>
      <w:rPr>
        <w:rFonts w:ascii="Arial" w:cs="Arial" w:eastAsia="Arial" w:hAnsi="Arial"/>
        <w:b w:val="false"/>
        <w:bCs w:val="false"/>
        <w:i w:val="false"/>
        <w:iCs w:val="false"/>
        <w:caps w:val="false"/>
        <w:color w:val="64748B"/>
        <w:sz w:val="13"/>
        <w:szCs w:val="13"/>
      </w:rPr>
      <w:t xml:space="preserve">BudgetSmart · Ezra Eliezer — External CFO and Financial Consultant · +972 50-290-0102 · ezra@ezraeliezer.com · ezraeliezer.com · License BSP-0000-000000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F17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2026-09-06T15:22:22.720Z</dcterms:created>
  <dcterms:modified xsi:type="dcterms:W3CDTF">2026-09-06T15:22:22.720Z</dcterms:modified>
</cp:coreProperties>
</file>

<file path=docProps/custom.xml><?xml version="1.0" encoding="utf-8"?>
<Properties xmlns="http://schemas.openxmlformats.org/officeDocument/2006/custom-properties" xmlns:vt="http://schemas.openxmlformats.org/officeDocument/2006/docPropsVTypes"/>
</file>